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11AF5" w14:textId="77777777" w:rsidR="00D97A56" w:rsidRDefault="00000000">
      <w:pPr>
        <w:jc w:val="center"/>
        <w:rPr>
          <w:b/>
          <w:bCs/>
        </w:rPr>
      </w:pPr>
      <w:r>
        <w:rPr>
          <w:b/>
          <w:bCs/>
        </w:rPr>
        <w:t>СПРАВКА-ОБОСНОВАНИЕ</w:t>
      </w:r>
    </w:p>
    <w:p w14:paraId="2613D597" w14:textId="77777777" w:rsidR="00D97A56" w:rsidRDefault="00000000">
      <w:pPr>
        <w:jc w:val="center"/>
        <w:rPr>
          <w:b/>
          <w:bCs/>
        </w:rPr>
      </w:pPr>
      <w:r>
        <w:rPr>
          <w:b/>
          <w:bCs/>
        </w:rPr>
        <w:t>к проекту Закона Кыргызской Республики «О внесении изменений в некоторые законодательные акты Кыргызской Республики по вопросам трудоустройства лиц с инвалидностью»</w:t>
      </w:r>
    </w:p>
    <w:p w14:paraId="61F5B840" w14:textId="77777777" w:rsidR="00D97A56" w:rsidRDefault="00D97A56">
      <w:pPr>
        <w:jc w:val="center"/>
      </w:pPr>
    </w:p>
    <w:p w14:paraId="66C4CF59" w14:textId="5660F710" w:rsidR="00D97A56" w:rsidRPr="00C27E48" w:rsidRDefault="00000000" w:rsidP="00C27E48">
      <w:pPr>
        <w:keepNext/>
        <w:rPr>
          <w:b/>
          <w:bCs/>
          <w:lang w:val="ky-KG"/>
        </w:rPr>
      </w:pPr>
      <w:r>
        <w:rPr>
          <w:b/>
          <w:bCs/>
        </w:rPr>
        <w:t>1. Цели и задачи проекта</w:t>
      </w:r>
    </w:p>
    <w:p w14:paraId="2753662C" w14:textId="77777777" w:rsidR="00D97A56" w:rsidRDefault="00000000">
      <w:r>
        <w:t>Целью законопроекта является создание работающего механизма трудоустройства лиц с инвалидностью в случаях, когда действующая квота формально установлена, но квотируемые места остаются незаполненными. Законопроект сохраняет квоту и связывает ее с подбором кандидатов, разумным приспособлением рабочих мест, обучением и финансированием мер, непосредственно ведущих к занятости.</w:t>
      </w:r>
    </w:p>
    <w:p w14:paraId="45835B7C" w14:textId="77777777" w:rsidR="00D97A56" w:rsidRDefault="00000000">
      <w:r>
        <w:t>Для работодателя законопроект предусматривает два способа исполнения обязанности по квотируемому рабочему месту. Работодатель может принять на работу лицо с инвалидностью либо своевременно уплатить компенсационный платеж за незаполненную часть квоты. Уплата платежа является исполнением обязанности за соответствующее место и расчетный период, но не дает права отказывать подходящему кандидату по причине инвалидности.</w:t>
      </w:r>
    </w:p>
    <w:p w14:paraId="5B59720C" w14:textId="77777777" w:rsidR="00D97A56" w:rsidRDefault="00000000">
      <w:r>
        <w:t>Задачами законопроекта являются:</w:t>
      </w:r>
    </w:p>
    <w:p w14:paraId="11791393" w14:textId="77777777" w:rsidR="00D97A56" w:rsidRDefault="00000000">
      <w:r>
        <w:t>1. установление единого правила определения квоты: одно рабочее место на каждые полные 25 работников;</w:t>
      </w:r>
    </w:p>
    <w:p w14:paraId="6CF0A061" w14:textId="77777777" w:rsidR="00D97A56" w:rsidRDefault="00000000">
      <w:r>
        <w:t>2. введение ежемесячного компенсационного платежа за незаполненную часть квоты;</w:t>
      </w:r>
    </w:p>
    <w:p w14:paraId="664588FF" w14:textId="77777777" w:rsidR="00D97A56" w:rsidRDefault="00000000">
      <w:r>
        <w:t>3. разграничение полномочий органа в сфере труда и занятости и налоговой службы при определении квоты и администрировании платежа;</w:t>
      </w:r>
    </w:p>
    <w:p w14:paraId="14A57DE0" w14:textId="77777777" w:rsidR="00D97A56" w:rsidRDefault="00000000">
      <w:r>
        <w:t>4. создание отдельной бюджетной программы для разумного приспособления, обучения и других мер содействия занятости лиц с инвалидностью;</w:t>
      </w:r>
    </w:p>
    <w:p w14:paraId="2BDAA8AF" w14:textId="77777777" w:rsidR="00D97A56" w:rsidRDefault="00000000">
      <w:r>
        <w:t>5. защита лиц с инвалидностью от необоснованного отказа при самостоятельном обращении к работодателю и при направлении государственной службой занятости;</w:t>
      </w:r>
    </w:p>
    <w:p w14:paraId="7E85FECA" w14:textId="77777777" w:rsidR="00D97A56" w:rsidRDefault="00000000">
      <w:r>
        <w:t>6. установление ответственности за неуплату платежа, недостоверные сведения, фиктивное трудоустройство и иные способы имитации исполнения квоты;</w:t>
      </w:r>
    </w:p>
    <w:p w14:paraId="758C7494" w14:textId="77777777" w:rsidR="00D97A56" w:rsidRDefault="00000000">
      <w:r>
        <w:t>7. обеспечение открытого контроля за использованием бюджетных средств через Наблюдательный совет и публикацию результатов программы.</w:t>
      </w:r>
    </w:p>
    <w:p w14:paraId="286152DE" w14:textId="77777777" w:rsidR="00D97A56" w:rsidRDefault="00D97A56"/>
    <w:p w14:paraId="6D5FC1C4" w14:textId="60F2F302" w:rsidR="00D97A56" w:rsidRPr="00C27E48" w:rsidRDefault="00000000" w:rsidP="00C27E48">
      <w:pPr>
        <w:keepNext/>
        <w:rPr>
          <w:b/>
          <w:bCs/>
          <w:lang w:val="ky-KG"/>
        </w:rPr>
      </w:pPr>
      <w:r>
        <w:rPr>
          <w:b/>
          <w:bCs/>
        </w:rPr>
        <w:t>2. Описательная часть</w:t>
      </w:r>
    </w:p>
    <w:p w14:paraId="51A2F1D8" w14:textId="63617787" w:rsidR="00D97A56" w:rsidRPr="00C27E48" w:rsidRDefault="00000000" w:rsidP="00C27E48">
      <w:pPr>
        <w:keepNext/>
        <w:rPr>
          <w:b/>
          <w:bCs/>
          <w:lang w:val="ky-KG"/>
        </w:rPr>
      </w:pPr>
      <w:r>
        <w:rPr>
          <w:b/>
          <w:bCs/>
        </w:rPr>
        <w:t>2.1. Существующая проблема</w:t>
      </w:r>
    </w:p>
    <w:p w14:paraId="7324CE39" w14:textId="77777777" w:rsidR="00D97A56" w:rsidRDefault="00000000">
      <w:r>
        <w:t xml:space="preserve">Действующее законодательство предусматривает квоты для трудоустройства лиц с инвалидностью, однако резервирование рабочих мест само по себе не приводит к их заполнению. При отсутствии подходящего кандидата работодатель не имеет понятного альтернативного способа исполнить обязанность, а государственная служба занятости не получает </w:t>
      </w:r>
      <w:r>
        <w:lastRenderedPageBreak/>
        <w:t>устойчивого механизма для поиска кандидата, его обучения и подготовки рабочего места.</w:t>
      </w:r>
    </w:p>
    <w:p w14:paraId="660849FB" w14:textId="77777777" w:rsidR="00D97A56" w:rsidRDefault="00000000">
      <w:r>
        <w:t>Проблема</w:t>
      </w:r>
      <w:r w:rsidRPr="004D79B3">
        <w:rPr>
          <w:lang w:val="en-US"/>
        </w:rPr>
        <w:t xml:space="preserve"> </w:t>
      </w:r>
      <w:r>
        <w:t>подтверждается</w:t>
      </w:r>
      <w:r w:rsidRPr="004D79B3">
        <w:rPr>
          <w:lang w:val="en-US"/>
        </w:rPr>
        <w:t xml:space="preserve"> </w:t>
      </w:r>
      <w:r>
        <w:t>исследованием</w:t>
      </w:r>
      <w:r w:rsidRPr="004D79B3">
        <w:rPr>
          <w:lang w:val="en-US"/>
        </w:rPr>
        <w:t xml:space="preserve"> </w:t>
      </w:r>
      <w:r>
        <w:t>Всемирного</w:t>
      </w:r>
      <w:r w:rsidRPr="004D79B3">
        <w:rPr>
          <w:lang w:val="en-US"/>
        </w:rPr>
        <w:t xml:space="preserve"> </w:t>
      </w:r>
      <w:r>
        <w:t>банка</w:t>
      </w:r>
      <w:r w:rsidRPr="004D79B3">
        <w:rPr>
          <w:lang w:val="en-US"/>
        </w:rPr>
        <w:t xml:space="preserve"> «Supporting Disability-Inclusive Employment and Education in the Kyrgyz Republic». </w:t>
      </w:r>
      <w:r>
        <w:t>В 2019 году при плановой квоте 615 человек было трудоустроено 97, в 2020 году при квоте 1037 человек — 41, в 2021 году при квоте 929 человек — ни одного, в 2022 году при квоте 669 человек — 128, в 2023 году при квоте 1425 человек — 12. В исследовании среди причин низкого исполнения названы слабые меры исполнения, несоответствие вакансий потребностям работодателей и ожиданиям кандидатов, недостаток стимулов, проблемы доступности и нестабильность созданных рабочих мест.</w:t>
      </w:r>
    </w:p>
    <w:p w14:paraId="670B03F7" w14:textId="77777777" w:rsidR="00D97A56" w:rsidRDefault="00000000">
      <w:r>
        <w:t xml:space="preserve">Источник: исследование Всемирного банка — </w:t>
      </w:r>
      <w:hyperlink r:id="rId8" w:history="1">
        <w:r w:rsidR="00D97A56">
          <w:rPr>
            <w:rStyle w:val="aff8"/>
          </w:rPr>
          <w:t>https://documents1.worldbank.org/curated/en/099022325080514709/pdf/P501658-9f3ca4ec-f6c5-41fd-855a-1e78f5e179b5.pdf</w:t>
        </w:r>
      </w:hyperlink>
    </w:p>
    <w:p w14:paraId="2CA3F625" w14:textId="77777777" w:rsidR="00D97A56" w:rsidRDefault="00000000">
      <w:r>
        <w:t>Законопроект устраняет разрыв между квотой и фактической занятостью. Незанятое место либо заполняется работником с инвалидностью, либо становится основанием для компенсационного платежа. Сведения о квоте используются для работы службы занятости, а поступления учитываются при формировании бюджетной программы поддержки трудоустройства.</w:t>
      </w:r>
    </w:p>
    <w:p w14:paraId="2926B3FF" w14:textId="77777777" w:rsidR="00D97A56" w:rsidRDefault="00D97A56"/>
    <w:p w14:paraId="7E0BA6B5" w14:textId="2D337426" w:rsidR="00D97A56" w:rsidRPr="00C27E48" w:rsidRDefault="00000000" w:rsidP="00C27E48">
      <w:pPr>
        <w:keepNext/>
        <w:rPr>
          <w:b/>
          <w:bCs/>
          <w:lang w:val="ky-KG"/>
        </w:rPr>
      </w:pPr>
      <w:r>
        <w:rPr>
          <w:b/>
          <w:bCs/>
        </w:rPr>
        <w:t>2.2. Квота и выбор работодателя</w:t>
      </w:r>
    </w:p>
    <w:p w14:paraId="200762A5" w14:textId="77777777" w:rsidR="00D97A56" w:rsidRDefault="00000000" w:rsidP="004D79B3">
      <w:r>
        <w:t>Размер квоты предлагается определять за каждый календарный день из расчета одного рабочего места на каждые полные 25 работников. Прием и увольнение учитываются с фактических дат. Филиалы, представительства и другие обособленные подразделения не становятся самостоятельными плательщиками: численность определяется в целом по юридическому лицу.</w:t>
      </w:r>
    </w:p>
    <w:p w14:paraId="56601534" w14:textId="77777777" w:rsidR="00D97A56" w:rsidRDefault="00000000" w:rsidP="004D79B3">
      <w:r>
        <w:t>Одно квотируемое место считается заполненным, если лицо с инвалидностью работает не менее половины установленной для должности продолжительности рабочего времени. Сокращенная продолжительность рабочего времени, установленная законодательством непосредственно в связи с инвалидностью, считается полным выполнением одного места. Учитываются только трудовые отношения с фактическим выполнением трудовой функции и выплатой заработной платы. Гражданско-правовые договоры в квоту не включаются.</w:t>
      </w:r>
    </w:p>
    <w:p w14:paraId="3F1A4DBF" w14:textId="77777777" w:rsidR="00D97A56" w:rsidRDefault="00000000">
      <w:r>
        <w:t>Работодатель сам выбирает способ исполнения обязанности по каждому незаполненному месту. Если он выбирает трудоустройство, он регистрирует или подтверждает заявленную вакансию, а государственная служба занятости ищет и направляет подходящих кандидатов. Если работодатель выбирает компенсационный платеж, регистрировать вакансию только ради формального соблюдения квоты не требуется. Такое решение исключает ситуацию, при которой работодатель одновременно обязан платить и сохранять не нужную ему вакансию.</w:t>
      </w:r>
    </w:p>
    <w:p w14:paraId="6F257AC4" w14:textId="77777777" w:rsidR="00D97A56" w:rsidRDefault="00000000">
      <w:r>
        <w:t xml:space="preserve">Государственные органы, органы местного самоуправления и бюджетные учреждения компенсационный платеж не уплачивают и </w:t>
      </w:r>
      <w:r>
        <w:lastRenderedPageBreak/>
        <w:t>исполняют квоту непосредственно. При замещении административных государственных и муниципальных должностей применяются квалификационные требования, конкурсные процедуры и кадровый резерв, предусмотренные законодательством о государственной гражданской и муниципальной службе.</w:t>
      </w:r>
    </w:p>
    <w:p w14:paraId="0BE39E01" w14:textId="77777777" w:rsidR="00D97A56" w:rsidRDefault="00D97A56"/>
    <w:p w14:paraId="18EF7DDA" w14:textId="29FBA42E" w:rsidR="00D97A56" w:rsidRPr="00C27E48" w:rsidRDefault="00000000" w:rsidP="00C27E48">
      <w:pPr>
        <w:keepNext/>
        <w:rPr>
          <w:b/>
          <w:bCs/>
          <w:lang w:val="ky-KG"/>
        </w:rPr>
      </w:pPr>
      <w:r>
        <w:rPr>
          <w:b/>
          <w:bCs/>
        </w:rPr>
        <w:t>2.3. Расчет и администрирование компенсационного платежа</w:t>
      </w:r>
    </w:p>
    <w:p w14:paraId="36BBCE1E" w14:textId="77777777" w:rsidR="00D97A56" w:rsidRDefault="00000000">
      <w:r>
        <w:t>Незаполненная часть квоты за день равна положительной разнице между размером квоты и ее фактическим заполнением. Незаполненная часть за месяц определяется как сумма дневных значений, деленная на число календарных дней месяца. Промежуточные величины не округляются. До двух знаков после запятой округляется только итоговая сумма платежа.</w:t>
      </w:r>
    </w:p>
    <w:p w14:paraId="5DDF1808" w14:textId="77777777" w:rsidR="00D97A56" w:rsidRDefault="00000000">
      <w:r>
        <w:t>Компенсационный платеж рассчитывается по формуле:</w:t>
      </w:r>
    </w:p>
    <w:p w14:paraId="52A9E184" w14:textId="77777777" w:rsidR="00D97A56" w:rsidRDefault="00000000">
      <w:r>
        <w:t>КП = ПМ × Н,</w:t>
      </w:r>
    </w:p>
    <w:p w14:paraId="5A3D7365" w14:textId="77777777" w:rsidR="00D97A56" w:rsidRDefault="00000000">
      <w:r>
        <w:t>где КП — сумма платежа за месяц; ПМ — величина прожиточного минимума в среднем на душу населения в целом по Кыргызской Республике за календарный год, предшествующий году возникновения обязанности; Н — незаполненная часть квоты за месяц.</w:t>
      </w:r>
    </w:p>
    <w:p w14:paraId="0280DFDB" w14:textId="77777777" w:rsidR="00D97A56" w:rsidRDefault="00000000">
      <w:r>
        <w:t>Если к моменту расчета показатель прожиточного минимума за предшествующий год еще не опубликован, применяется последнее опубликованное значение. После публикации производится перерасчет. Разница уплачивается в течение 10 календарных дней после получения уточненного расчета, причем пеня и штраф на разницу, возникшую из-за поздней публикации показателя, не начисляются. Переплата засчитывается или возвращается.</w:t>
      </w:r>
    </w:p>
    <w:p w14:paraId="25189932" w14:textId="77777777" w:rsidR="00D97A56" w:rsidRDefault="00000000">
      <w:r>
        <w:t>Полномочия распределяются по предмету регулирования. Уполномоченный государственный орган в сфере труда и занятости определяет размер квоты и ее фактическое заполнение. Орган налоговой службы на основании полученных сведений исчисляет платеж, размещает предварительный расчет в кабинете налогоплательщика, контролирует уплату, начисляет пеню, учитывает и взыскивает задолженность, осуществляет зачет и возврат. Возражения о размере или заполнении квоты рассматриваются с заключением органа труда и занятости, а возражения о сумме и уплате платежа — налоговой службой.</w:t>
      </w:r>
    </w:p>
    <w:p w14:paraId="3BB9D554" w14:textId="77777777" w:rsidR="00D97A56" w:rsidRDefault="00000000">
      <w:r>
        <w:t>Предварительный расчет размещается не позднее 10-го числа месяца, следующего за расчетным. Работодатель вправе представить возражения в течение 10 календарных дней. После окончательного расчета платеж уплачивается в течение 10 календарных дней. Если расчет не сформирован или не направлен из-за технической ошибки государственной информационной системы, работодатель не исчисляет его самостоятельно, а пеня и штраф не начисляются до истечения срока, рассчитанного после надлежащего направления окончательного расчета.</w:t>
      </w:r>
    </w:p>
    <w:p w14:paraId="6339D0E7" w14:textId="77777777" w:rsidR="00D97A56" w:rsidRDefault="00D97A56"/>
    <w:p w14:paraId="5208A0FA" w14:textId="35D65267" w:rsidR="00D97A56" w:rsidRPr="00C27E48" w:rsidRDefault="00000000" w:rsidP="00C27E48">
      <w:pPr>
        <w:keepNext/>
        <w:rPr>
          <w:b/>
          <w:bCs/>
          <w:lang w:val="ky-KG"/>
        </w:rPr>
      </w:pPr>
      <w:r>
        <w:rPr>
          <w:b/>
          <w:bCs/>
        </w:rPr>
        <w:lastRenderedPageBreak/>
        <w:t>2.4. Трудоустройство и меры поддержки</w:t>
      </w:r>
    </w:p>
    <w:p w14:paraId="3014892A" w14:textId="77777777" w:rsidR="00D97A56" w:rsidRDefault="00000000">
      <w:r>
        <w:t>Если работодатель выбирает трудоустройство, государственная служба занятости подбирает кандидата, при необходимости организует обучение под конкретную вакансию и содействует разумному приспособлению рабочего места. Работодатель рассматривает направленного кандидата в течение пяти рабочих дней и отражает результат в государственной информационной системе занятости.</w:t>
      </w:r>
    </w:p>
    <w:p w14:paraId="1EDECAC7" w14:textId="77777777" w:rsidR="00D97A56" w:rsidRDefault="00000000">
      <w:r>
        <w:t>Защита от необоснованного отказа действует независимо от направления службы занятости. Она распространяется и на лицо с инвалидностью, самостоятельно обратившееся по заявленной вакансии. Отказ является необоснованным, если кандидат соответствует квалификационным требованиям, установленным до его обращения или направления, и способен выполнять основные трудовые функции самостоятельно либо с разумным приспособлением. Требования, появившиеся после обращения кандидата или не связанные с трудовой функцией, не могут оправдывать отказ. При наличии нескольких кандидатов работодатель вправе выбрать другого кандидата, если применил заранее установленные, связанные с работой и одинаковые для всех критерии и документировал результат.</w:t>
      </w:r>
    </w:p>
    <w:p w14:paraId="641608CF" w14:textId="77777777" w:rsidR="00D97A56" w:rsidRDefault="00000000">
      <w:r>
        <w:t>Для лиц с инвалидностью законопроект создает возможности для появления новых рабочих мест, обучения под определенную вакансию и получения необходимых условий труда. Документально подтвержденные расходы работодателя на разумное приспособление рабочего места могут компенсироваться полностью или частично. Бюджетная программа также охватывает поддержку первого рабочего места через обучение и адаптацию, сохранение занятости работника, получившего инвалидность, посредством разумного приспособления, переобучения или перевода, а также поддержку самозанятости и предпринимательства лиц с инвалидностью.</w:t>
      </w:r>
    </w:p>
    <w:p w14:paraId="3C5CE935" w14:textId="77777777" w:rsidR="00D97A56" w:rsidRDefault="00D97A56"/>
    <w:p w14:paraId="5981D3DE" w14:textId="7A23FD26" w:rsidR="00D97A56" w:rsidRPr="00C27E48" w:rsidRDefault="00000000" w:rsidP="00C27E48">
      <w:pPr>
        <w:keepNext/>
        <w:rPr>
          <w:b/>
          <w:bCs/>
          <w:lang w:val="ky-KG"/>
        </w:rPr>
      </w:pPr>
      <w:r>
        <w:rPr>
          <w:b/>
          <w:bCs/>
        </w:rPr>
        <w:t>2.5. Примеры расчета по показателю за 2025 год</w:t>
      </w:r>
    </w:p>
    <w:p w14:paraId="64A9CB41" w14:textId="77777777" w:rsidR="00D97A56" w:rsidRDefault="00000000">
      <w:r>
        <w:t>По официальным данным Национального статистического комитета Кыргызской Республики среднегодовая величина прожиточного минимума в 2025 году составила 8 697,32 сома. Этот показатель используется ниже только для иллюстрации работы предлагаемой формулы.</w:t>
      </w:r>
    </w:p>
    <w:p w14:paraId="60E7741F" w14:textId="77777777" w:rsidR="00D97A56" w:rsidRDefault="00000000">
      <w:r>
        <w:t>1. У работодателя 24 работника в течение всего месяца. Полных групп по 25 работников нет, поэтому квота и платеж равны нулю.</w:t>
      </w:r>
    </w:p>
    <w:p w14:paraId="2A5EBE9A" w14:textId="77777777" w:rsidR="00D97A56" w:rsidRDefault="00000000">
      <w:r>
        <w:t>2. У работодателя 25 работников и нет работников с инвалидностью. Квота равна одному месту, а платеж за полный месяц составляет 8 697,32 сома.</w:t>
      </w:r>
    </w:p>
    <w:p w14:paraId="0FC2DEA8" w14:textId="77777777" w:rsidR="00D97A56" w:rsidRDefault="00000000">
      <w:r>
        <w:t>3. У работодателя 50 работников и работает одно лицо с инвалидностью. Из двух квотируемых мест заполнено одно, поэтому платеж составляет 8 697,32 сома.</w:t>
      </w:r>
    </w:p>
    <w:p w14:paraId="41E49C29" w14:textId="77777777" w:rsidR="00D97A56" w:rsidRDefault="00000000">
      <w:r>
        <w:t>4. Лицо с инвалидностью принято на работу с 16-го числа 30-дневного месяца. Место было незаполненным 15 дней. Незаполненная часть равна 15 / 30, а платеж — 8 697,32 × 15 / 30 = 4 348,66 сома.</w:t>
      </w:r>
    </w:p>
    <w:p w14:paraId="7A47B585" w14:textId="77777777" w:rsidR="00D97A56" w:rsidRDefault="00000000">
      <w:r>
        <w:lastRenderedPageBreak/>
        <w:t>5. У работодателя было 25 работников в течение 20 дней и 24 работника в течение 10 дней 30-дневного месяца. Промежуточная величина 20 / 30 не округляется. Итоговый платеж составляет 8 697,32 × 20 / 30 = 5 798,21 сома.</w:t>
      </w:r>
    </w:p>
    <w:p w14:paraId="2C0BAD59" w14:textId="77777777" w:rsidR="00D97A56" w:rsidRDefault="00000000">
      <w:r>
        <w:t>6. Работодатель своевременно уплатил 8 697,32 сома за одно незаполненное место. Обязанность за это место и месяц исполнена; задолженность и ответственность за отсутствие работника не возникают. Если тот же работодатель необоснованно отказал подходящему лицу с инвалидностью по заявленной вакансии, отказ образует отдельное правонарушение.</w:t>
      </w:r>
    </w:p>
    <w:p w14:paraId="5705F6E3" w14:textId="77777777" w:rsidR="00D97A56" w:rsidRDefault="00000000">
      <w:r>
        <w:t>7. Юридическое лицо не трудоустроило работника и не уплатило 8 697,32 сома в срок. Возникают задолженность, пеня и штраф в размере 650 расчетных показателей. Если расчетный показатель составляет 100 сомов, штраф равен 65 000 сомов и не прекращает обязанность погасить платеж и пеню.</w:t>
      </w:r>
    </w:p>
    <w:p w14:paraId="1ADD4E37" w14:textId="77777777" w:rsidR="00D97A56" w:rsidRDefault="00000000">
      <w:r>
        <w:t>8. При представлении заведомо недостоверных сведений или фиктивном трудоустройстве восстанавливается незаполненная квота, платеж пересчитывается за затронутый период и применяется самостоятельная ответственность за недостоверные сведения или имитацию исполнения квоты.</w:t>
      </w:r>
    </w:p>
    <w:p w14:paraId="370E4F1A" w14:textId="77777777" w:rsidR="00D97A56" w:rsidRDefault="00000000">
      <w:r>
        <w:t xml:space="preserve">Источник показателя: Национальный статистический комитет Кыргызской Республики — </w:t>
      </w:r>
      <w:hyperlink r:id="rId9" w:history="1">
        <w:r w:rsidR="00D97A56">
          <w:rPr>
            <w:rStyle w:val="aff8"/>
          </w:rPr>
          <w:t>https://stat.gov.kg/ru/living-wage/</w:t>
        </w:r>
      </w:hyperlink>
    </w:p>
    <w:p w14:paraId="3AFD57FC" w14:textId="77777777" w:rsidR="00D97A56" w:rsidRDefault="00D97A56"/>
    <w:p w14:paraId="431EFD91" w14:textId="51B3A2CC" w:rsidR="00D97A56" w:rsidRPr="00C27E48" w:rsidRDefault="00000000" w:rsidP="00C27E48">
      <w:pPr>
        <w:keepNext/>
        <w:rPr>
          <w:b/>
          <w:bCs/>
          <w:lang w:val="ky-KG"/>
        </w:rPr>
      </w:pPr>
      <w:r>
        <w:rPr>
          <w:b/>
          <w:bCs/>
        </w:rPr>
        <w:t>2.6. Ответственность и защита от дискриминации</w:t>
      </w:r>
    </w:p>
    <w:p w14:paraId="16F287DC" w14:textId="77777777" w:rsidR="00D97A56" w:rsidRDefault="00000000">
      <w:r>
        <w:t>Законопроект разграничивает составы правонарушений. Часть 2 статьи 88 Кодекса Кыргызской Республики о правонарушениях устанавливает повышенную ответственность за необоснованный отказ лицу с инвалидностью. Статья 89 применяется только к неуплате или неполной уплате компенсационного платежа. Статья 89-1 охватывает нарушение порядка представления сведений, заведомо недостоверные сведения, фиктивное трудоустройство, фиктивную квотируемую вакансию и иные способы имитации исполнения квоты.</w:t>
      </w:r>
    </w:p>
    <w:p w14:paraId="7152B0C6" w14:textId="77777777" w:rsidR="00D97A56" w:rsidRDefault="00000000">
      <w:r>
        <w:t>Штраф за неуплату установлен выше размера месячного платежа за одно место. Иначе работодателю было бы экономически выгоднее не исполнять обязанность. Одновременно законопроект исключает ответственность за сам факт отсутствия работника, если работодатель своевременно уплатил платеж, и не устанавливает специальный штраф для должностного лица государственного органа за незаполненную квоту.</w:t>
      </w:r>
    </w:p>
    <w:p w14:paraId="0C54A26E" w14:textId="77777777" w:rsidR="00D97A56" w:rsidRDefault="00D97A56"/>
    <w:p w14:paraId="5203DC41" w14:textId="73796005" w:rsidR="00D97A56" w:rsidRPr="00C27E48" w:rsidRDefault="00000000" w:rsidP="00C27E48">
      <w:pPr>
        <w:keepNext/>
        <w:rPr>
          <w:b/>
          <w:bCs/>
          <w:lang w:val="ky-KG"/>
        </w:rPr>
      </w:pPr>
      <w:r>
        <w:rPr>
          <w:b/>
          <w:bCs/>
        </w:rPr>
        <w:t>2.7. Международный опыт</w:t>
      </w:r>
    </w:p>
    <w:p w14:paraId="7925932F" w14:textId="77777777" w:rsidR="00D97A56" w:rsidRDefault="00000000">
      <w:r>
        <w:t>В Германии работодатели, не достигшие установленного уровня занятости лиц с тяжелой инвалидностью, уплачивают дифференцированную компенсационную выплату за незаполненные обязательные места. Средства используются для профессиональной интеграции и поддержки работодателей.</w:t>
      </w:r>
    </w:p>
    <w:p w14:paraId="318C6FA8" w14:textId="77777777" w:rsidR="00D97A56" w:rsidRDefault="00000000">
      <w:r>
        <w:lastRenderedPageBreak/>
        <w:t>Во Франции работодатели с установленной численностью работников обязаны обеспечить требуемый уровень занятости работников с инвалидностью либо уплачивать взнос, финансирующий меры Agefiph. Сведения об обязанности и численности формируются через систему социальных деклараций.</w:t>
      </w:r>
    </w:p>
    <w:p w14:paraId="73A443FD" w14:textId="77777777" w:rsidR="00D97A56" w:rsidRDefault="00000000">
      <w:r>
        <w:t>В Польше работодатели с численностью не менее 25 работников, не достигшие установленного показателя занятости лиц с инвалидностью, производят ежемесячные платежи в Государственный фонд реабилитации лиц с инвалидностью PFRON. В Японии обязательный платеж сочетается с грантами работодателям, создающим и приспосабливающим рабочие места.</w:t>
      </w:r>
    </w:p>
    <w:p w14:paraId="7FD13771" w14:textId="77777777" w:rsidR="00D97A56" w:rsidRDefault="00000000">
      <w:r>
        <w:t>Этот опыт показывает, что платеж должен сочетаться с подбором кандидатов, приспособлением рабочих мест, обучением и проверяемым использованием средств. Законопроект использует такой подход, но не создает внебюджетный фонд: поступления зачисляются в республиканский бюджет, а расходы утверждаются законом о республиканском бюджете в рамках отдельной бюджетной программы.</w:t>
      </w:r>
    </w:p>
    <w:p w14:paraId="1848F80B" w14:textId="77777777" w:rsidR="00D97A56" w:rsidRDefault="00D97A56"/>
    <w:p w14:paraId="0A2472AA" w14:textId="12659FF2" w:rsidR="00D97A56" w:rsidRPr="00C27E48" w:rsidRDefault="00000000" w:rsidP="00C27E48">
      <w:pPr>
        <w:keepNext/>
        <w:rPr>
          <w:b/>
          <w:bCs/>
          <w:lang w:val="ky-KG"/>
        </w:rPr>
      </w:pPr>
      <w:r>
        <w:rPr>
          <w:b/>
          <w:bCs/>
        </w:rPr>
        <w:t>2.8. Подзаконные акты, необходимые для исполнения закона</w:t>
      </w:r>
    </w:p>
    <w:p w14:paraId="334FA612" w14:textId="77777777" w:rsidR="00D97A56" w:rsidRDefault="00000000">
      <w:r>
        <w:t>Для исполнения закона Кабинету Министров Кыргызской Республики потребуется:</w:t>
      </w:r>
    </w:p>
    <w:p w14:paraId="11A2D0DE" w14:textId="77777777" w:rsidR="00D97A56" w:rsidRDefault="00000000">
      <w:r>
        <w:t>1. утвердить порядок межведомственного информационного взаимодействия для определения квоты, ее заполнения и суммы платежа, включая доступ к сведениям, исправление неполных данных и защиту персональных данных;</w:t>
      </w:r>
    </w:p>
    <w:p w14:paraId="2E337D56" w14:textId="77777777" w:rsidR="00D97A56" w:rsidRDefault="00000000">
      <w:r>
        <w:t>2. урегулировать технический порядок формирования и направления предварительного и окончательного расчета, рассмотрения возражений, перерасчета, зачета и возврата платежа в пределах правил, установленных законом;</w:t>
      </w:r>
    </w:p>
    <w:p w14:paraId="085C17EC" w14:textId="77777777" w:rsidR="00D97A56" w:rsidRDefault="00000000">
      <w:r>
        <w:t>3. утвердить порядок предоставления мер содействия занятости, предельные размеры поддержки, перечень документов, подтверждение рыночности расходов, раскрытие аффилированности, контроль показателей и возврат средств;</w:t>
      </w:r>
    </w:p>
    <w:p w14:paraId="500E7DBE" w14:textId="77777777" w:rsidR="00D97A56" w:rsidRDefault="00000000">
      <w:r>
        <w:t>4. утвердить порядок деятельности Наблюдательного совета, открытого отбора представителей объединений работодателей и бизнес-ассоциаций, проведения заседаний и опубликования решений;</w:t>
      </w:r>
    </w:p>
    <w:p w14:paraId="56FAC707" w14:textId="77777777" w:rsidR="00D97A56" w:rsidRDefault="00000000">
      <w:r>
        <w:t>5. привести положения об органах налоговой службы, труда и занятости, а также контроля и надзора за соблюдением трудового законодательства в соответствие с их новыми полномочиями;</w:t>
      </w:r>
    </w:p>
    <w:p w14:paraId="6DB22BAF" w14:textId="77777777" w:rsidR="00D97A56" w:rsidRDefault="00000000">
      <w:r>
        <w:t>6. установить отдельный код бюджетной классификации для компенсационного платежа и предусмотреть отдельную бюджетную программу содействия трудоустройству лиц с инвалидностью;</w:t>
      </w:r>
    </w:p>
    <w:p w14:paraId="6742D81A" w14:textId="77777777" w:rsidR="00D97A56" w:rsidRDefault="00000000">
      <w:r>
        <w:t>7. утвердить технические требования к кабинету налогоплательщика, государственной информационной системе занятости, открытому реестру получателей поддержки и отчетности по результатам программы.</w:t>
      </w:r>
    </w:p>
    <w:p w14:paraId="0A693D48" w14:textId="77777777" w:rsidR="00D97A56" w:rsidRDefault="00D97A56"/>
    <w:p w14:paraId="52B9F171" w14:textId="5FB5D1C4" w:rsidR="00D97A56" w:rsidRPr="00C27E48" w:rsidRDefault="00000000" w:rsidP="00C27E48">
      <w:pPr>
        <w:keepNext/>
        <w:rPr>
          <w:b/>
          <w:bCs/>
          <w:lang w:val="ky-KG"/>
        </w:rPr>
      </w:pPr>
      <w:r>
        <w:rPr>
          <w:b/>
          <w:bCs/>
        </w:rPr>
        <w:lastRenderedPageBreak/>
        <w:t>3. Прогноз возможных социальных, экономических, правовых, правозащитных, гендерных, экологических и коррупционных последствий</w:t>
      </w:r>
    </w:p>
    <w:p w14:paraId="42706840" w14:textId="77777777" w:rsidR="00D97A56" w:rsidRDefault="00000000">
      <w:r>
        <w:t>Ожидаемым социальным и правозащитным последствием является расширение доступа лиц с инвалидностью к открытому рынку труда. Работодатели, выбравшие трудоустройство, будут заявлять вакансии, а бюджетная программа позволит финансировать разумное приспособление, обучение и адаптацию к первому рабочему месту. Это повышает вероятность не только приема на работу, но и сохранения занятости.</w:t>
      </w:r>
    </w:p>
    <w:p w14:paraId="6D5C34D1" w14:textId="77777777" w:rsidR="00D97A56" w:rsidRDefault="00000000">
      <w:r>
        <w:t>Для работодателей возникает предсказуемая альтернатива: трудоустроить лицо с инвалидностью либо уплатить платеж за незаполненное место. Расчет формируется государственными органами без дублирующей отчетности. Работодатель получает право возражать против исходных данных и окончательного расчета.</w:t>
      </w:r>
    </w:p>
    <w:p w14:paraId="05632067" w14:textId="77777777" w:rsidR="00D97A56" w:rsidRDefault="00000000">
      <w:r>
        <w:t>Для государства потребуются информационное взаимодействие, администрирование платежа и финансирование отдельной бюджетной программы. Результаты программы будут оцениваться по созданным, приспособленным и сохраненным рабочим местам, трудоустройству, сохранению занятости через шесть и двенадцать месяцев, результатам обучения и стоимости достигнутого результата.</w:t>
      </w:r>
    </w:p>
    <w:p w14:paraId="46DEC73D" w14:textId="77777777" w:rsidR="00D97A56" w:rsidRDefault="00000000">
      <w:r>
        <w:t>Законопроект не устанавливает различий по признаку пола. При мониторинге необходимо раздельно учитывать занятость женщин и мужчин с инвалидностью. Негативных экологических последствий не ожидается.</w:t>
      </w:r>
    </w:p>
    <w:p w14:paraId="6B8E555C" w14:textId="77777777" w:rsidR="00D97A56" w:rsidRDefault="00000000">
      <w:r>
        <w:t>Коррупционные риски связаны с фиктивным трудоустройством, искусственными вакансиями, занижением численности работников, завышением расходов на разумное приспособление и скрытой аффилированностью получателей. Риски снижаются межведомственным обменом сведениями, запретом двойного финансирования, проверкой рыночности расходов, открытым реестром, измеримыми показателями соглашений, возвратом средств и ответственностью за недостоверные сведения и имитацию исполнения квоты.</w:t>
      </w:r>
    </w:p>
    <w:p w14:paraId="4E6DA155" w14:textId="77777777" w:rsidR="00D97A56" w:rsidRDefault="00D97A56"/>
    <w:p w14:paraId="642F39ED" w14:textId="5D3D37A6" w:rsidR="00D97A56" w:rsidRPr="00C27E48" w:rsidRDefault="00000000" w:rsidP="00C27E48">
      <w:pPr>
        <w:keepNext/>
        <w:rPr>
          <w:b/>
          <w:bCs/>
          <w:lang w:val="ky-KG"/>
        </w:rPr>
      </w:pPr>
      <w:r>
        <w:rPr>
          <w:b/>
          <w:bCs/>
        </w:rPr>
        <w:t>4. Информация об общественном обсуждении</w:t>
      </w:r>
    </w:p>
    <w:p w14:paraId="02CE217A" w14:textId="77777777" w:rsidR="00D97A56" w:rsidRDefault="00000000">
      <w:r>
        <w:t>Законопроект размещен на сайте Жогорку Кенеша Кыргызской Республики http://kenesh.kg в разделе общественных обсуждений. В 2026 году законопроект согласовывался с государственными органами, бизнес-ассоциациями, Федерацией профсоюзов Кыргызстана, представителями организаций лиц с инвалидностью и активными лицами с инвалидностью. Согласование включало очные обсуждения и рассмотрение письменных предложений; оно не означает, что все поступившие предложения были приняты.</w:t>
      </w:r>
    </w:p>
    <w:p w14:paraId="38E6F9C5" w14:textId="77777777" w:rsidR="00D97A56" w:rsidRDefault="00000000">
      <w:r>
        <w:t xml:space="preserve">Концепция законопроекта обсуждалась 19 мая 2026 года. Очередное обсуждение состоялось 25 августа 2026 года с участием государственных органов, Федерации профсоюзов Кыргызстана и активных лиц с </w:t>
      </w:r>
      <w:r>
        <w:lastRenderedPageBreak/>
        <w:t>инвалидностью. После обсуждений поступили письменные замечания государственных органов и Международного делового совета.</w:t>
      </w:r>
    </w:p>
    <w:p w14:paraId="1008DA1B" w14:textId="77777777" w:rsidR="00D97A56" w:rsidRDefault="00000000">
      <w:r>
        <w:t xml:space="preserve">Публикации об обсуждениях: 19 мая 2026 года — </w:t>
      </w:r>
      <w:hyperlink r:id="rId10" w:history="1">
        <w:r w:rsidR="00D97A56">
          <w:rPr>
            <w:rStyle w:val="aff8"/>
          </w:rPr>
          <w:t>https://caravan-info.kg/ru/obschestvo/180339-deputat-predlozhil-biznesu-perechislyat-sredstva-vmesto-nerabotayuschih-kvot-po-trudoustroystvu-invalidov.html</w:t>
        </w:r>
      </w:hyperlink>
      <w:r>
        <w:t xml:space="preserve">; 25 августа 2026 года — </w:t>
      </w:r>
      <w:hyperlink r:id="rId11" w:history="1">
        <w:r w:rsidR="00D97A56">
          <w:rPr>
            <w:rStyle w:val="aff8"/>
          </w:rPr>
          <w:t>https://kaktus.media/doc/552078_depytat_predlojil_vvesti_kompensacionnyy_platej_vmesto_kvoty_dlia_ludey_s_invalidnostu.html</w:t>
        </w:r>
      </w:hyperlink>
    </w:p>
    <w:p w14:paraId="3EA3F8A1" w14:textId="77777777" w:rsidR="00D97A56" w:rsidRDefault="00000000">
      <w:r>
        <w:t>Основные результаты рассмотрения письменных предложений и предложений, высказанных при обсуждении, приведены ниже.</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00"/>
        <w:gridCol w:w="2700"/>
        <w:gridCol w:w="1455"/>
        <w:gridCol w:w="3200"/>
      </w:tblGrid>
      <w:tr w:rsidR="00D97A56" w14:paraId="00178E6C" w14:textId="77777777" w:rsidTr="00C27E48">
        <w:tc>
          <w:tcPr>
            <w:tcW w:w="2000" w:type="dxa"/>
            <w:tcMar>
              <w:top w:w="60" w:type="dxa"/>
              <w:left w:w="90" w:type="dxa"/>
              <w:bottom w:w="60" w:type="dxa"/>
              <w:right w:w="90" w:type="dxa"/>
            </w:tcMar>
            <w:vAlign w:val="center"/>
          </w:tcPr>
          <w:p w14:paraId="33860285" w14:textId="77777777" w:rsidR="00D97A56" w:rsidRDefault="00000000">
            <w:pPr>
              <w:ind w:firstLine="0"/>
              <w:jc w:val="center"/>
              <w:rPr>
                <w:b/>
                <w:bCs/>
                <w:sz w:val="24"/>
                <w:szCs w:val="24"/>
              </w:rPr>
            </w:pPr>
            <w:r>
              <w:rPr>
                <w:b/>
                <w:bCs/>
                <w:sz w:val="24"/>
                <w:szCs w:val="24"/>
              </w:rPr>
              <w:t>Орган или организация</w:t>
            </w:r>
          </w:p>
        </w:tc>
        <w:tc>
          <w:tcPr>
            <w:tcW w:w="2700" w:type="dxa"/>
            <w:tcMar>
              <w:top w:w="60" w:type="dxa"/>
              <w:left w:w="90" w:type="dxa"/>
              <w:bottom w:w="60" w:type="dxa"/>
              <w:right w:w="90" w:type="dxa"/>
            </w:tcMar>
            <w:vAlign w:val="center"/>
          </w:tcPr>
          <w:p w14:paraId="371B6D7A" w14:textId="77777777" w:rsidR="00D97A56" w:rsidRDefault="00000000">
            <w:pPr>
              <w:ind w:firstLine="0"/>
              <w:jc w:val="center"/>
              <w:rPr>
                <w:b/>
                <w:bCs/>
                <w:sz w:val="24"/>
                <w:szCs w:val="24"/>
              </w:rPr>
            </w:pPr>
            <w:r>
              <w:rPr>
                <w:b/>
                <w:bCs/>
                <w:sz w:val="24"/>
                <w:szCs w:val="24"/>
              </w:rPr>
              <w:t>Основные предложения</w:t>
            </w:r>
          </w:p>
        </w:tc>
        <w:tc>
          <w:tcPr>
            <w:tcW w:w="1455" w:type="dxa"/>
            <w:tcMar>
              <w:top w:w="60" w:type="dxa"/>
              <w:left w:w="90" w:type="dxa"/>
              <w:bottom w:w="60" w:type="dxa"/>
              <w:right w:w="90" w:type="dxa"/>
            </w:tcMar>
            <w:vAlign w:val="center"/>
          </w:tcPr>
          <w:p w14:paraId="3243ADE6" w14:textId="77777777" w:rsidR="00D97A56" w:rsidRDefault="00000000">
            <w:pPr>
              <w:ind w:firstLine="0"/>
              <w:jc w:val="center"/>
              <w:rPr>
                <w:b/>
                <w:bCs/>
                <w:sz w:val="24"/>
                <w:szCs w:val="24"/>
              </w:rPr>
            </w:pPr>
            <w:r>
              <w:rPr>
                <w:b/>
                <w:bCs/>
                <w:sz w:val="24"/>
                <w:szCs w:val="24"/>
              </w:rPr>
              <w:t>Результат</w:t>
            </w:r>
          </w:p>
        </w:tc>
        <w:tc>
          <w:tcPr>
            <w:tcW w:w="3200" w:type="dxa"/>
            <w:tcMar>
              <w:top w:w="60" w:type="dxa"/>
              <w:left w:w="90" w:type="dxa"/>
              <w:bottom w:w="60" w:type="dxa"/>
              <w:right w:w="90" w:type="dxa"/>
            </w:tcMar>
            <w:vAlign w:val="center"/>
          </w:tcPr>
          <w:p w14:paraId="69731C74" w14:textId="77777777" w:rsidR="00D97A56" w:rsidRDefault="00000000">
            <w:pPr>
              <w:ind w:firstLine="0"/>
              <w:jc w:val="center"/>
              <w:rPr>
                <w:b/>
                <w:bCs/>
                <w:sz w:val="24"/>
                <w:szCs w:val="24"/>
              </w:rPr>
            </w:pPr>
            <w:r>
              <w:rPr>
                <w:b/>
                <w:bCs/>
                <w:sz w:val="24"/>
                <w:szCs w:val="24"/>
              </w:rPr>
              <w:t>Обоснование</w:t>
            </w:r>
          </w:p>
        </w:tc>
      </w:tr>
      <w:tr w:rsidR="00D97A56" w14:paraId="05F8E77C" w14:textId="77777777" w:rsidTr="00C27E48">
        <w:trPr>
          <w:cantSplit/>
        </w:trPr>
        <w:tc>
          <w:tcPr>
            <w:tcW w:w="2000" w:type="dxa"/>
            <w:tcMar>
              <w:top w:w="60" w:type="dxa"/>
              <w:left w:w="90" w:type="dxa"/>
              <w:bottom w:w="60" w:type="dxa"/>
              <w:right w:w="90" w:type="dxa"/>
            </w:tcMar>
          </w:tcPr>
          <w:p w14:paraId="22BF7783" w14:textId="77777777" w:rsidR="00D97A56" w:rsidRDefault="00000000" w:rsidP="00C27E48">
            <w:pPr>
              <w:ind w:firstLine="0"/>
              <w:jc w:val="center"/>
              <w:rPr>
                <w:sz w:val="24"/>
                <w:szCs w:val="24"/>
              </w:rPr>
            </w:pPr>
            <w:r>
              <w:rPr>
                <w:sz w:val="24"/>
                <w:szCs w:val="24"/>
              </w:rPr>
              <w:t>Государственное агентство по делам государственной службы и местного самоуправления; Национальный статистический комитет; Социальный фонд</w:t>
            </w:r>
          </w:p>
        </w:tc>
        <w:tc>
          <w:tcPr>
            <w:tcW w:w="2700" w:type="dxa"/>
            <w:tcMar>
              <w:top w:w="60" w:type="dxa"/>
              <w:left w:w="90" w:type="dxa"/>
              <w:bottom w:w="60" w:type="dxa"/>
              <w:right w:w="90" w:type="dxa"/>
            </w:tcMar>
          </w:tcPr>
          <w:p w14:paraId="2658B1DD" w14:textId="77777777" w:rsidR="00D97A56" w:rsidRDefault="00000000" w:rsidP="00C27E48">
            <w:pPr>
              <w:ind w:firstLine="0"/>
              <w:jc w:val="center"/>
              <w:rPr>
                <w:sz w:val="24"/>
                <w:szCs w:val="24"/>
              </w:rPr>
            </w:pPr>
            <w:r>
              <w:rPr>
                <w:sz w:val="24"/>
                <w:szCs w:val="24"/>
              </w:rPr>
              <w:t>Замечаний в пределах компетенции не представлено; предложены кандидаты в рабочую группу по АРВ.</w:t>
            </w:r>
          </w:p>
        </w:tc>
        <w:tc>
          <w:tcPr>
            <w:tcW w:w="1455" w:type="dxa"/>
            <w:tcMar>
              <w:top w:w="60" w:type="dxa"/>
              <w:left w:w="90" w:type="dxa"/>
              <w:bottom w:w="60" w:type="dxa"/>
              <w:right w:w="90" w:type="dxa"/>
            </w:tcMar>
          </w:tcPr>
          <w:p w14:paraId="33AC2129" w14:textId="77777777" w:rsidR="00D97A56" w:rsidRDefault="00000000" w:rsidP="00C27E48">
            <w:pPr>
              <w:ind w:firstLine="0"/>
              <w:jc w:val="center"/>
              <w:rPr>
                <w:sz w:val="24"/>
                <w:szCs w:val="24"/>
              </w:rPr>
            </w:pPr>
            <w:r>
              <w:rPr>
                <w:sz w:val="24"/>
                <w:szCs w:val="24"/>
              </w:rPr>
              <w:t>Принято к сведению.</w:t>
            </w:r>
          </w:p>
        </w:tc>
        <w:tc>
          <w:tcPr>
            <w:tcW w:w="3200" w:type="dxa"/>
            <w:tcMar>
              <w:top w:w="60" w:type="dxa"/>
              <w:left w:w="90" w:type="dxa"/>
              <w:bottom w:w="60" w:type="dxa"/>
              <w:right w:w="90" w:type="dxa"/>
            </w:tcMar>
          </w:tcPr>
          <w:p w14:paraId="6D80EC5F" w14:textId="77777777" w:rsidR="00D97A56" w:rsidRDefault="00000000" w:rsidP="00C27E48">
            <w:pPr>
              <w:ind w:firstLine="0"/>
              <w:jc w:val="center"/>
              <w:rPr>
                <w:sz w:val="24"/>
                <w:szCs w:val="24"/>
              </w:rPr>
            </w:pPr>
            <w:r>
              <w:rPr>
                <w:sz w:val="24"/>
                <w:szCs w:val="24"/>
              </w:rPr>
              <w:t>Органы подтвердили отсутствие возражений и предоставили специалистов для дальнейшей оценки регулирования.</w:t>
            </w:r>
          </w:p>
        </w:tc>
      </w:tr>
      <w:tr w:rsidR="00D97A56" w14:paraId="39A35550" w14:textId="77777777" w:rsidTr="00C27E48">
        <w:trPr>
          <w:cantSplit/>
        </w:trPr>
        <w:tc>
          <w:tcPr>
            <w:tcW w:w="2000" w:type="dxa"/>
            <w:tcMar>
              <w:top w:w="60" w:type="dxa"/>
              <w:left w:w="90" w:type="dxa"/>
              <w:bottom w:w="60" w:type="dxa"/>
              <w:right w:w="90" w:type="dxa"/>
            </w:tcMar>
          </w:tcPr>
          <w:p w14:paraId="38D533F9" w14:textId="77777777" w:rsidR="00D97A56" w:rsidRDefault="00000000" w:rsidP="00C27E48">
            <w:pPr>
              <w:ind w:firstLine="0"/>
              <w:jc w:val="center"/>
              <w:rPr>
                <w:sz w:val="24"/>
                <w:szCs w:val="24"/>
              </w:rPr>
            </w:pPr>
            <w:r>
              <w:rPr>
                <w:sz w:val="24"/>
                <w:szCs w:val="24"/>
              </w:rPr>
              <w:t>Государственная налоговая служба</w:t>
            </w:r>
          </w:p>
        </w:tc>
        <w:tc>
          <w:tcPr>
            <w:tcW w:w="2700" w:type="dxa"/>
            <w:tcMar>
              <w:top w:w="60" w:type="dxa"/>
              <w:left w:w="90" w:type="dxa"/>
              <w:bottom w:w="60" w:type="dxa"/>
              <w:right w:w="90" w:type="dxa"/>
            </w:tcMar>
          </w:tcPr>
          <w:p w14:paraId="6637AC93" w14:textId="77777777" w:rsidR="00D97A56" w:rsidRDefault="00000000" w:rsidP="00C27E48">
            <w:pPr>
              <w:ind w:firstLine="0"/>
              <w:jc w:val="center"/>
              <w:rPr>
                <w:sz w:val="24"/>
                <w:szCs w:val="24"/>
              </w:rPr>
            </w:pPr>
            <w:r>
              <w:rPr>
                <w:sz w:val="24"/>
                <w:szCs w:val="24"/>
              </w:rPr>
              <w:t>Уточнить правовую природу платежа и альтернативу найму; оценить риски; не возлагать на ГНС определение квоты и трудовой контроль.</w:t>
            </w:r>
          </w:p>
        </w:tc>
        <w:tc>
          <w:tcPr>
            <w:tcW w:w="1455" w:type="dxa"/>
            <w:tcMar>
              <w:top w:w="60" w:type="dxa"/>
              <w:left w:w="90" w:type="dxa"/>
              <w:bottom w:w="60" w:type="dxa"/>
              <w:right w:w="90" w:type="dxa"/>
            </w:tcMar>
          </w:tcPr>
          <w:p w14:paraId="00E46A6F" w14:textId="77777777" w:rsidR="00D97A56" w:rsidRDefault="00000000" w:rsidP="00C27E48">
            <w:pPr>
              <w:ind w:firstLine="0"/>
              <w:jc w:val="center"/>
              <w:rPr>
                <w:sz w:val="24"/>
                <w:szCs w:val="24"/>
              </w:rPr>
            </w:pPr>
            <w:r>
              <w:rPr>
                <w:sz w:val="24"/>
                <w:szCs w:val="24"/>
              </w:rPr>
              <w:t>Принято частично.</w:t>
            </w:r>
          </w:p>
        </w:tc>
        <w:tc>
          <w:tcPr>
            <w:tcW w:w="3200" w:type="dxa"/>
            <w:tcMar>
              <w:top w:w="60" w:type="dxa"/>
              <w:left w:w="90" w:type="dxa"/>
              <w:bottom w:w="60" w:type="dxa"/>
              <w:right w:w="90" w:type="dxa"/>
            </w:tcMar>
          </w:tcPr>
          <w:p w14:paraId="55D3CE6F" w14:textId="77777777" w:rsidR="00D97A56" w:rsidRDefault="00000000" w:rsidP="00C27E48">
            <w:pPr>
              <w:ind w:firstLine="0"/>
              <w:jc w:val="center"/>
              <w:rPr>
                <w:sz w:val="24"/>
                <w:szCs w:val="24"/>
              </w:rPr>
            </w:pPr>
            <w:r>
              <w:rPr>
                <w:sz w:val="24"/>
                <w:szCs w:val="24"/>
              </w:rPr>
              <w:t>Трудоустройство и своевременный платеж закреплены как альтернативные способы исполнения. Орган труда определяет квоту и заполнение, а ГНС администрирует неналоговый платеж. Экономические риски оцениваются в АРВ.</w:t>
            </w:r>
          </w:p>
        </w:tc>
      </w:tr>
      <w:tr w:rsidR="00D97A56" w14:paraId="03598F6B" w14:textId="77777777" w:rsidTr="00C27E48">
        <w:trPr>
          <w:cantSplit/>
        </w:trPr>
        <w:tc>
          <w:tcPr>
            <w:tcW w:w="2000" w:type="dxa"/>
            <w:tcMar>
              <w:top w:w="60" w:type="dxa"/>
              <w:left w:w="90" w:type="dxa"/>
              <w:bottom w:w="60" w:type="dxa"/>
              <w:right w:w="90" w:type="dxa"/>
            </w:tcMar>
          </w:tcPr>
          <w:p w14:paraId="4A0CACF6" w14:textId="77777777" w:rsidR="00D97A56" w:rsidRDefault="00000000" w:rsidP="00C27E48">
            <w:pPr>
              <w:ind w:firstLine="0"/>
              <w:jc w:val="center"/>
              <w:rPr>
                <w:sz w:val="24"/>
                <w:szCs w:val="24"/>
              </w:rPr>
            </w:pPr>
            <w:r>
              <w:rPr>
                <w:sz w:val="24"/>
                <w:szCs w:val="24"/>
              </w:rPr>
              <w:lastRenderedPageBreak/>
              <w:t>Международный деловой совет</w:t>
            </w:r>
          </w:p>
        </w:tc>
        <w:tc>
          <w:tcPr>
            <w:tcW w:w="2700" w:type="dxa"/>
            <w:tcMar>
              <w:top w:w="60" w:type="dxa"/>
              <w:left w:w="90" w:type="dxa"/>
              <w:bottom w:w="60" w:type="dxa"/>
              <w:right w:w="90" w:type="dxa"/>
            </w:tcMar>
          </w:tcPr>
          <w:p w14:paraId="63543D78" w14:textId="77777777" w:rsidR="00D97A56" w:rsidRDefault="00000000" w:rsidP="00C27E48">
            <w:pPr>
              <w:ind w:firstLine="0"/>
              <w:jc w:val="center"/>
              <w:rPr>
                <w:sz w:val="24"/>
                <w:szCs w:val="24"/>
              </w:rPr>
            </w:pPr>
            <w:r>
              <w:rPr>
                <w:sz w:val="24"/>
                <w:szCs w:val="24"/>
              </w:rPr>
              <w:t>Предложены исключения для отдельных рабочих мест, освобождение при отсутствии кандидата, зачет закупок, двойной зачет отдельных работников, переходные коэффициенты, сохранение пособия и дополнительные гарантии расчета.</w:t>
            </w:r>
          </w:p>
        </w:tc>
        <w:tc>
          <w:tcPr>
            <w:tcW w:w="1455" w:type="dxa"/>
            <w:tcMar>
              <w:top w:w="60" w:type="dxa"/>
              <w:left w:w="90" w:type="dxa"/>
              <w:bottom w:w="60" w:type="dxa"/>
              <w:right w:w="90" w:type="dxa"/>
            </w:tcMar>
          </w:tcPr>
          <w:p w14:paraId="31C71836" w14:textId="77777777" w:rsidR="00D97A56" w:rsidRDefault="00000000" w:rsidP="00C27E48">
            <w:pPr>
              <w:ind w:firstLine="0"/>
              <w:jc w:val="center"/>
              <w:rPr>
                <w:sz w:val="24"/>
                <w:szCs w:val="24"/>
              </w:rPr>
            </w:pPr>
            <w:r>
              <w:rPr>
                <w:sz w:val="24"/>
                <w:szCs w:val="24"/>
              </w:rPr>
              <w:t>Принято частично.</w:t>
            </w:r>
          </w:p>
        </w:tc>
        <w:tc>
          <w:tcPr>
            <w:tcW w:w="3200" w:type="dxa"/>
            <w:tcMar>
              <w:top w:w="60" w:type="dxa"/>
              <w:left w:w="90" w:type="dxa"/>
              <w:bottom w:w="60" w:type="dxa"/>
              <w:right w:w="90" w:type="dxa"/>
            </w:tcMar>
          </w:tcPr>
          <w:p w14:paraId="3DF88D82" w14:textId="77777777" w:rsidR="00D97A56" w:rsidRDefault="00000000" w:rsidP="00C27E48">
            <w:pPr>
              <w:ind w:firstLine="0"/>
              <w:jc w:val="center"/>
              <w:rPr>
                <w:sz w:val="24"/>
                <w:szCs w:val="24"/>
              </w:rPr>
            </w:pPr>
            <w:r>
              <w:rPr>
                <w:sz w:val="24"/>
                <w:szCs w:val="24"/>
              </w:rPr>
              <w:t>Учтены отказ от промежуточного округления, резервное правило при поздней публикации прожиточного минимума, запрет испытания и регистрация вакансии только при выборе найма. Исключения, зачет закупок, двойной зачет и переходные коэффициенты отклонены как усложняющие администрирование и ослабляющие цель трудоустройства. Финансовые расчеты проверяются в АРВ.</w:t>
            </w:r>
          </w:p>
        </w:tc>
      </w:tr>
      <w:tr w:rsidR="00D97A56" w14:paraId="3357AB23" w14:textId="77777777" w:rsidTr="00C27E48">
        <w:trPr>
          <w:cantSplit/>
        </w:trPr>
        <w:tc>
          <w:tcPr>
            <w:tcW w:w="2000" w:type="dxa"/>
            <w:tcMar>
              <w:top w:w="60" w:type="dxa"/>
              <w:left w:w="90" w:type="dxa"/>
              <w:bottom w:w="60" w:type="dxa"/>
              <w:right w:w="90" w:type="dxa"/>
            </w:tcMar>
          </w:tcPr>
          <w:p w14:paraId="1DDFB186" w14:textId="77777777" w:rsidR="00D97A56" w:rsidRDefault="00000000" w:rsidP="00C27E48">
            <w:pPr>
              <w:ind w:firstLine="0"/>
              <w:jc w:val="center"/>
              <w:rPr>
                <w:sz w:val="24"/>
                <w:szCs w:val="24"/>
              </w:rPr>
            </w:pPr>
            <w:r>
              <w:rPr>
                <w:sz w:val="24"/>
                <w:szCs w:val="24"/>
              </w:rPr>
              <w:t>Министерство финансов</w:t>
            </w:r>
          </w:p>
        </w:tc>
        <w:tc>
          <w:tcPr>
            <w:tcW w:w="2700" w:type="dxa"/>
            <w:tcMar>
              <w:top w:w="60" w:type="dxa"/>
              <w:left w:w="90" w:type="dxa"/>
              <w:bottom w:w="60" w:type="dxa"/>
              <w:right w:w="90" w:type="dxa"/>
            </w:tcMar>
          </w:tcPr>
          <w:p w14:paraId="29AA1741" w14:textId="77777777" w:rsidR="00D97A56" w:rsidRDefault="00000000" w:rsidP="00C27E48">
            <w:pPr>
              <w:ind w:firstLine="0"/>
              <w:jc w:val="center"/>
              <w:rPr>
                <w:sz w:val="24"/>
                <w:szCs w:val="24"/>
              </w:rPr>
            </w:pPr>
            <w:r>
              <w:rPr>
                <w:sz w:val="24"/>
                <w:szCs w:val="24"/>
              </w:rPr>
              <w:t>Перенести существенные элементы платежа в подзаконный акт; уточнить финансирование и категории получателей; исключить неподкрепленные меры поддержки.</w:t>
            </w:r>
          </w:p>
        </w:tc>
        <w:tc>
          <w:tcPr>
            <w:tcW w:w="1455" w:type="dxa"/>
            <w:tcMar>
              <w:top w:w="60" w:type="dxa"/>
              <w:left w:w="90" w:type="dxa"/>
              <w:bottom w:w="60" w:type="dxa"/>
              <w:right w:w="90" w:type="dxa"/>
            </w:tcMar>
          </w:tcPr>
          <w:p w14:paraId="7D4AED94" w14:textId="77777777" w:rsidR="00D97A56" w:rsidRDefault="00000000" w:rsidP="00C27E48">
            <w:pPr>
              <w:ind w:firstLine="0"/>
              <w:jc w:val="center"/>
              <w:rPr>
                <w:sz w:val="24"/>
                <w:szCs w:val="24"/>
              </w:rPr>
            </w:pPr>
            <w:r>
              <w:rPr>
                <w:sz w:val="24"/>
                <w:szCs w:val="24"/>
              </w:rPr>
              <w:t>Принято частично.</w:t>
            </w:r>
          </w:p>
        </w:tc>
        <w:tc>
          <w:tcPr>
            <w:tcW w:w="3200" w:type="dxa"/>
            <w:tcMar>
              <w:top w:w="60" w:type="dxa"/>
              <w:left w:w="90" w:type="dxa"/>
              <w:bottom w:w="60" w:type="dxa"/>
              <w:right w:w="90" w:type="dxa"/>
            </w:tcMar>
          </w:tcPr>
          <w:p w14:paraId="3E894638" w14:textId="77777777" w:rsidR="00D97A56" w:rsidRDefault="00000000" w:rsidP="00C27E48">
            <w:pPr>
              <w:ind w:firstLine="0"/>
              <w:jc w:val="center"/>
              <w:rPr>
                <w:sz w:val="24"/>
                <w:szCs w:val="24"/>
              </w:rPr>
            </w:pPr>
            <w:r>
              <w:rPr>
                <w:sz w:val="24"/>
                <w:szCs w:val="24"/>
              </w:rPr>
              <w:t>Существенные элементы обязанности сохранены в законе. Финансирование связано с прогнозом поступлений и обоснованной потребностью. Исключены субсидирование заработной платы, сопровождаемое трудоустройство, наставничество и разовая выплата; порядок оставшихся мер поручается определить Кабинету Министров.</w:t>
            </w:r>
          </w:p>
        </w:tc>
      </w:tr>
      <w:tr w:rsidR="00D97A56" w14:paraId="495337D3" w14:textId="77777777" w:rsidTr="00C27E48">
        <w:trPr>
          <w:cantSplit/>
        </w:trPr>
        <w:tc>
          <w:tcPr>
            <w:tcW w:w="2000" w:type="dxa"/>
            <w:tcMar>
              <w:top w:w="60" w:type="dxa"/>
              <w:left w:w="90" w:type="dxa"/>
              <w:bottom w:w="60" w:type="dxa"/>
              <w:right w:w="90" w:type="dxa"/>
            </w:tcMar>
          </w:tcPr>
          <w:p w14:paraId="454D1A8E" w14:textId="77777777" w:rsidR="00D97A56" w:rsidRDefault="00000000" w:rsidP="00C27E48">
            <w:pPr>
              <w:ind w:firstLine="0"/>
              <w:jc w:val="center"/>
              <w:rPr>
                <w:sz w:val="24"/>
                <w:szCs w:val="24"/>
              </w:rPr>
            </w:pPr>
            <w:r>
              <w:rPr>
                <w:sz w:val="24"/>
                <w:szCs w:val="24"/>
              </w:rPr>
              <w:t>Министерство цифрового развития и инновационных технологий</w:t>
            </w:r>
          </w:p>
        </w:tc>
        <w:tc>
          <w:tcPr>
            <w:tcW w:w="2700" w:type="dxa"/>
            <w:tcMar>
              <w:top w:w="60" w:type="dxa"/>
              <w:left w:w="90" w:type="dxa"/>
              <w:bottom w:w="60" w:type="dxa"/>
              <w:right w:w="90" w:type="dxa"/>
            </w:tcMar>
          </w:tcPr>
          <w:p w14:paraId="3A00A64F" w14:textId="77777777" w:rsidR="00D97A56" w:rsidRDefault="00000000" w:rsidP="00C27E48">
            <w:pPr>
              <w:ind w:firstLine="0"/>
              <w:jc w:val="center"/>
              <w:rPr>
                <w:sz w:val="24"/>
                <w:szCs w:val="24"/>
              </w:rPr>
            </w:pPr>
            <w:r>
              <w:rPr>
                <w:sz w:val="24"/>
                <w:szCs w:val="24"/>
              </w:rPr>
              <w:t>Согласовать квоту государственных органов с конкурсным порядком государственной и муниципальной службы.</w:t>
            </w:r>
          </w:p>
        </w:tc>
        <w:tc>
          <w:tcPr>
            <w:tcW w:w="1455" w:type="dxa"/>
            <w:tcMar>
              <w:top w:w="60" w:type="dxa"/>
              <w:left w:w="90" w:type="dxa"/>
              <w:bottom w:w="60" w:type="dxa"/>
              <w:right w:w="90" w:type="dxa"/>
            </w:tcMar>
          </w:tcPr>
          <w:p w14:paraId="45F8EDAE" w14:textId="77777777" w:rsidR="00D97A56" w:rsidRDefault="00000000" w:rsidP="00C27E48">
            <w:pPr>
              <w:ind w:firstLine="0"/>
              <w:jc w:val="center"/>
              <w:rPr>
                <w:sz w:val="24"/>
                <w:szCs w:val="24"/>
              </w:rPr>
            </w:pPr>
            <w:r>
              <w:rPr>
                <w:sz w:val="24"/>
                <w:szCs w:val="24"/>
              </w:rPr>
              <w:t>Принято.</w:t>
            </w:r>
          </w:p>
        </w:tc>
        <w:tc>
          <w:tcPr>
            <w:tcW w:w="3200" w:type="dxa"/>
            <w:tcMar>
              <w:top w:w="60" w:type="dxa"/>
              <w:left w:w="90" w:type="dxa"/>
              <w:bottom w:w="60" w:type="dxa"/>
              <w:right w:w="90" w:type="dxa"/>
            </w:tcMar>
          </w:tcPr>
          <w:p w14:paraId="79C302E6" w14:textId="77777777" w:rsidR="00D97A56" w:rsidRDefault="00000000" w:rsidP="00C27E48">
            <w:pPr>
              <w:ind w:firstLine="0"/>
              <w:jc w:val="center"/>
              <w:rPr>
                <w:sz w:val="24"/>
                <w:szCs w:val="24"/>
              </w:rPr>
            </w:pPr>
            <w:r>
              <w:rPr>
                <w:sz w:val="24"/>
                <w:szCs w:val="24"/>
              </w:rPr>
              <w:t>В законопроект включены отсылки к законодательству о государственной гражданской и муниципальной службе; предусмотрено защищенное межведомственное информационное взаимодействие.</w:t>
            </w:r>
          </w:p>
        </w:tc>
      </w:tr>
      <w:tr w:rsidR="00D97A56" w14:paraId="5422A907" w14:textId="77777777" w:rsidTr="00C27E48">
        <w:trPr>
          <w:cantSplit/>
        </w:trPr>
        <w:tc>
          <w:tcPr>
            <w:tcW w:w="2000" w:type="dxa"/>
            <w:tcMar>
              <w:top w:w="60" w:type="dxa"/>
              <w:left w:w="90" w:type="dxa"/>
              <w:bottom w:w="60" w:type="dxa"/>
              <w:right w:w="90" w:type="dxa"/>
            </w:tcMar>
          </w:tcPr>
          <w:p w14:paraId="189186AD" w14:textId="59CDC6B2" w:rsidR="00D97A56" w:rsidRPr="004C74A3" w:rsidRDefault="00000000" w:rsidP="00C27E48">
            <w:pPr>
              <w:ind w:firstLine="0"/>
              <w:jc w:val="center"/>
              <w:rPr>
                <w:sz w:val="24"/>
                <w:szCs w:val="24"/>
                <w:lang w:val="ky-KG"/>
              </w:rPr>
            </w:pPr>
            <w:r>
              <w:rPr>
                <w:sz w:val="24"/>
                <w:szCs w:val="24"/>
              </w:rPr>
              <w:lastRenderedPageBreak/>
              <w:t>Министерство экономики</w:t>
            </w:r>
            <w:r w:rsidR="004C74A3">
              <w:rPr>
                <w:sz w:val="24"/>
                <w:szCs w:val="24"/>
                <w:lang w:val="ky-KG"/>
              </w:rPr>
              <w:t xml:space="preserve"> и коммерции</w:t>
            </w:r>
          </w:p>
        </w:tc>
        <w:tc>
          <w:tcPr>
            <w:tcW w:w="2700" w:type="dxa"/>
            <w:tcMar>
              <w:top w:w="60" w:type="dxa"/>
              <w:left w:w="90" w:type="dxa"/>
              <w:bottom w:w="60" w:type="dxa"/>
              <w:right w:w="90" w:type="dxa"/>
            </w:tcMar>
          </w:tcPr>
          <w:p w14:paraId="21E85957" w14:textId="77777777" w:rsidR="00D97A56" w:rsidRDefault="00000000" w:rsidP="00C27E48">
            <w:pPr>
              <w:ind w:firstLine="0"/>
              <w:jc w:val="center"/>
              <w:rPr>
                <w:sz w:val="24"/>
                <w:szCs w:val="24"/>
              </w:rPr>
            </w:pPr>
            <w:r>
              <w:rPr>
                <w:sz w:val="24"/>
                <w:szCs w:val="24"/>
              </w:rPr>
              <w:t>Сохранить запрет испытания; устранить конкуренцию статей 88 и 88-1 Кодекса о правонарушениях; обосновать санкции; провести консультации с бизнесом.</w:t>
            </w:r>
          </w:p>
        </w:tc>
        <w:tc>
          <w:tcPr>
            <w:tcW w:w="1455" w:type="dxa"/>
            <w:tcMar>
              <w:top w:w="60" w:type="dxa"/>
              <w:left w:w="90" w:type="dxa"/>
              <w:bottom w:w="60" w:type="dxa"/>
              <w:right w:w="90" w:type="dxa"/>
            </w:tcMar>
          </w:tcPr>
          <w:p w14:paraId="69B824D0" w14:textId="77777777" w:rsidR="00D97A56" w:rsidRDefault="00000000" w:rsidP="00C27E48">
            <w:pPr>
              <w:ind w:firstLine="0"/>
              <w:jc w:val="center"/>
              <w:rPr>
                <w:sz w:val="24"/>
                <w:szCs w:val="24"/>
              </w:rPr>
            </w:pPr>
            <w:r>
              <w:rPr>
                <w:sz w:val="24"/>
                <w:szCs w:val="24"/>
              </w:rPr>
              <w:t>Принято частично.</w:t>
            </w:r>
          </w:p>
        </w:tc>
        <w:tc>
          <w:tcPr>
            <w:tcW w:w="3200" w:type="dxa"/>
            <w:tcMar>
              <w:top w:w="60" w:type="dxa"/>
              <w:left w:w="90" w:type="dxa"/>
              <w:bottom w:w="60" w:type="dxa"/>
              <w:right w:w="90" w:type="dxa"/>
            </w:tcMar>
          </w:tcPr>
          <w:p w14:paraId="586920F8" w14:textId="77777777" w:rsidR="00D97A56" w:rsidRDefault="00000000" w:rsidP="00C27E48">
            <w:pPr>
              <w:ind w:firstLine="0"/>
              <w:jc w:val="center"/>
              <w:rPr>
                <w:sz w:val="24"/>
                <w:szCs w:val="24"/>
              </w:rPr>
            </w:pPr>
            <w:r>
              <w:rPr>
                <w:sz w:val="24"/>
                <w:szCs w:val="24"/>
              </w:rPr>
              <w:t>Запрет испытания сохранен. Ответственность за необоснованный отказ включена в часть 2 статьи 88, отдельная статья 88-1 об отказе исключена. Санкции сохранены, поскольку должны превышать экономию от неисполнения обязанности. Консультации с бизнесом проведены, письменные предложения рассмотрены.</w:t>
            </w:r>
          </w:p>
        </w:tc>
      </w:tr>
      <w:tr w:rsidR="00D97A56" w14:paraId="086D02E8" w14:textId="77777777" w:rsidTr="00C27E48">
        <w:trPr>
          <w:cantSplit/>
        </w:trPr>
        <w:tc>
          <w:tcPr>
            <w:tcW w:w="2000" w:type="dxa"/>
            <w:tcMar>
              <w:top w:w="60" w:type="dxa"/>
              <w:left w:w="90" w:type="dxa"/>
              <w:bottom w:w="60" w:type="dxa"/>
              <w:right w:w="90" w:type="dxa"/>
            </w:tcMar>
          </w:tcPr>
          <w:p w14:paraId="50BB50B4" w14:textId="77777777" w:rsidR="00D97A56" w:rsidRDefault="00000000" w:rsidP="00C27E48">
            <w:pPr>
              <w:ind w:firstLine="0"/>
              <w:jc w:val="center"/>
              <w:rPr>
                <w:sz w:val="24"/>
                <w:szCs w:val="24"/>
              </w:rPr>
            </w:pPr>
            <w:r>
              <w:rPr>
                <w:sz w:val="24"/>
                <w:szCs w:val="24"/>
              </w:rPr>
              <w:t>Министерство труда, социального обеспечения и миграции</w:t>
            </w:r>
          </w:p>
        </w:tc>
        <w:tc>
          <w:tcPr>
            <w:tcW w:w="2700" w:type="dxa"/>
            <w:tcMar>
              <w:top w:w="60" w:type="dxa"/>
              <w:left w:w="90" w:type="dxa"/>
              <w:bottom w:w="60" w:type="dxa"/>
              <w:right w:w="90" w:type="dxa"/>
            </w:tcMar>
          </w:tcPr>
          <w:p w14:paraId="3D13D717" w14:textId="77777777" w:rsidR="00D97A56" w:rsidRDefault="00000000" w:rsidP="00C27E48">
            <w:pPr>
              <w:ind w:firstLine="0"/>
              <w:jc w:val="center"/>
              <w:rPr>
                <w:sz w:val="24"/>
                <w:szCs w:val="24"/>
              </w:rPr>
            </w:pPr>
            <w:r>
              <w:rPr>
                <w:sz w:val="24"/>
                <w:szCs w:val="24"/>
              </w:rPr>
              <w:t>Провести финансовые расчеты; уточнить разумное приспособление, публичный сектор и основания отказа; сохранить отдельную норму о четырехпроцентной квоте.</w:t>
            </w:r>
          </w:p>
        </w:tc>
        <w:tc>
          <w:tcPr>
            <w:tcW w:w="1455" w:type="dxa"/>
            <w:tcMar>
              <w:top w:w="60" w:type="dxa"/>
              <w:left w:w="90" w:type="dxa"/>
              <w:bottom w:w="60" w:type="dxa"/>
              <w:right w:w="90" w:type="dxa"/>
            </w:tcMar>
          </w:tcPr>
          <w:p w14:paraId="3D2F750F" w14:textId="77777777" w:rsidR="00D97A56" w:rsidRDefault="00000000" w:rsidP="00C27E48">
            <w:pPr>
              <w:ind w:firstLine="0"/>
              <w:jc w:val="center"/>
              <w:rPr>
                <w:sz w:val="24"/>
                <w:szCs w:val="24"/>
              </w:rPr>
            </w:pPr>
            <w:r>
              <w:rPr>
                <w:sz w:val="24"/>
                <w:szCs w:val="24"/>
              </w:rPr>
              <w:t>Принято частично.</w:t>
            </w:r>
          </w:p>
        </w:tc>
        <w:tc>
          <w:tcPr>
            <w:tcW w:w="3200" w:type="dxa"/>
            <w:tcMar>
              <w:top w:w="60" w:type="dxa"/>
              <w:left w:w="90" w:type="dxa"/>
              <w:bottom w:w="60" w:type="dxa"/>
              <w:right w:w="90" w:type="dxa"/>
            </w:tcMar>
          </w:tcPr>
          <w:p w14:paraId="60AA82E9" w14:textId="77777777" w:rsidR="00D97A56" w:rsidRDefault="00000000" w:rsidP="00C27E48">
            <w:pPr>
              <w:ind w:firstLine="0"/>
              <w:jc w:val="center"/>
              <w:rPr>
                <w:sz w:val="24"/>
                <w:szCs w:val="24"/>
              </w:rPr>
            </w:pPr>
            <w:r>
              <w:rPr>
                <w:sz w:val="24"/>
                <w:szCs w:val="24"/>
              </w:rPr>
              <w:t>Расчеты включены в проводимый АРВ. Для государственных органов сохранено непосредственное исполнение с учетом специального законодательства. Объективные критерии отказа закреплены в Трудовом кодексе. Отдельный перечень медицинских противопоказаний и дублирующая четырехпроцентная квота не включены из-за риска дискриминации и коллизии с единым правилом одно место на 25 работников.</w:t>
            </w:r>
          </w:p>
        </w:tc>
      </w:tr>
      <w:tr w:rsidR="00D97A56" w14:paraId="5900096E" w14:textId="77777777" w:rsidTr="00C27E48">
        <w:trPr>
          <w:cantSplit/>
        </w:trPr>
        <w:tc>
          <w:tcPr>
            <w:tcW w:w="2000" w:type="dxa"/>
            <w:tcMar>
              <w:top w:w="60" w:type="dxa"/>
              <w:left w:w="90" w:type="dxa"/>
              <w:bottom w:w="60" w:type="dxa"/>
              <w:right w:w="90" w:type="dxa"/>
            </w:tcMar>
          </w:tcPr>
          <w:p w14:paraId="59154516" w14:textId="6DA29541" w:rsidR="00D97A56" w:rsidRDefault="00F032D5" w:rsidP="00C27E48">
            <w:pPr>
              <w:ind w:firstLine="0"/>
              <w:jc w:val="center"/>
              <w:rPr>
                <w:sz w:val="24"/>
                <w:szCs w:val="24"/>
              </w:rPr>
            </w:pPr>
            <w:r>
              <w:rPr>
                <w:sz w:val="24"/>
                <w:szCs w:val="24"/>
              </w:rPr>
              <w:t>Федерация профессиональных союзов Кыргызстана</w:t>
            </w:r>
          </w:p>
        </w:tc>
        <w:tc>
          <w:tcPr>
            <w:tcW w:w="2700" w:type="dxa"/>
            <w:tcMar>
              <w:top w:w="60" w:type="dxa"/>
              <w:left w:w="90" w:type="dxa"/>
              <w:bottom w:w="60" w:type="dxa"/>
              <w:right w:w="90" w:type="dxa"/>
            </w:tcMar>
          </w:tcPr>
          <w:p w14:paraId="20084FC9" w14:textId="77777777" w:rsidR="00D97A56" w:rsidRDefault="00000000" w:rsidP="00C27E48">
            <w:pPr>
              <w:ind w:firstLine="0"/>
              <w:jc w:val="center"/>
              <w:rPr>
                <w:sz w:val="24"/>
                <w:szCs w:val="24"/>
              </w:rPr>
            </w:pPr>
            <w:r>
              <w:rPr>
                <w:sz w:val="24"/>
                <w:szCs w:val="24"/>
              </w:rPr>
              <w:t>Использовать гендерно нейтральное обозначение супругов; обеспечить самостоятельное обращение лица с инвалидностью; определить основания правомерного отказа; продолжить консультации с бизнесом.</w:t>
            </w:r>
          </w:p>
        </w:tc>
        <w:tc>
          <w:tcPr>
            <w:tcW w:w="1455" w:type="dxa"/>
            <w:tcMar>
              <w:top w:w="60" w:type="dxa"/>
              <w:left w:w="90" w:type="dxa"/>
              <w:bottom w:w="60" w:type="dxa"/>
              <w:right w:w="90" w:type="dxa"/>
            </w:tcMar>
          </w:tcPr>
          <w:p w14:paraId="79E98FFB" w14:textId="77777777" w:rsidR="00D97A56" w:rsidRDefault="00000000" w:rsidP="00C27E48">
            <w:pPr>
              <w:ind w:firstLine="0"/>
              <w:jc w:val="center"/>
              <w:rPr>
                <w:sz w:val="24"/>
                <w:szCs w:val="24"/>
              </w:rPr>
            </w:pPr>
            <w:r>
              <w:rPr>
                <w:sz w:val="24"/>
                <w:szCs w:val="24"/>
              </w:rPr>
              <w:t>Принято частично.</w:t>
            </w:r>
          </w:p>
        </w:tc>
        <w:tc>
          <w:tcPr>
            <w:tcW w:w="3200" w:type="dxa"/>
            <w:tcMar>
              <w:top w:w="60" w:type="dxa"/>
              <w:left w:w="90" w:type="dxa"/>
              <w:bottom w:w="60" w:type="dxa"/>
              <w:right w:w="90" w:type="dxa"/>
            </w:tcMar>
          </w:tcPr>
          <w:p w14:paraId="104598B5" w14:textId="77777777" w:rsidR="00D97A56" w:rsidRDefault="00000000" w:rsidP="00C27E48">
            <w:pPr>
              <w:ind w:firstLine="0"/>
              <w:jc w:val="center"/>
              <w:rPr>
                <w:sz w:val="24"/>
                <w:szCs w:val="24"/>
              </w:rPr>
            </w:pPr>
            <w:r>
              <w:rPr>
                <w:sz w:val="24"/>
                <w:szCs w:val="24"/>
              </w:rPr>
              <w:t>Использовано гендерно нейтральное слово «супруги», защита распространена на самостоятельное обращение. Критерии необоснованного отказа закреплены непосредственно в Трудовом кодексе вместо перечня Кабинета Министров. Консультации с бизнес-ассоциациями проведены.</w:t>
            </w:r>
          </w:p>
        </w:tc>
      </w:tr>
      <w:tr w:rsidR="00D97A56" w14:paraId="0C72B2A3" w14:textId="77777777" w:rsidTr="00C27E48">
        <w:trPr>
          <w:cantSplit/>
        </w:trPr>
        <w:tc>
          <w:tcPr>
            <w:tcW w:w="2000" w:type="dxa"/>
            <w:tcMar>
              <w:top w:w="60" w:type="dxa"/>
              <w:left w:w="90" w:type="dxa"/>
              <w:bottom w:w="60" w:type="dxa"/>
              <w:right w:w="90" w:type="dxa"/>
            </w:tcMar>
          </w:tcPr>
          <w:p w14:paraId="7176AB35" w14:textId="77777777" w:rsidR="00D97A56" w:rsidRDefault="00000000" w:rsidP="00C27E48">
            <w:pPr>
              <w:ind w:firstLine="0"/>
              <w:jc w:val="center"/>
              <w:rPr>
                <w:sz w:val="24"/>
                <w:szCs w:val="24"/>
              </w:rPr>
            </w:pPr>
            <w:r>
              <w:rPr>
                <w:sz w:val="24"/>
                <w:szCs w:val="24"/>
              </w:rPr>
              <w:lastRenderedPageBreak/>
              <w:t>Представители организаций лиц с инвалидностью и активные лица с инвалидностью</w:t>
            </w:r>
          </w:p>
        </w:tc>
        <w:tc>
          <w:tcPr>
            <w:tcW w:w="2700" w:type="dxa"/>
            <w:tcMar>
              <w:top w:w="60" w:type="dxa"/>
              <w:left w:w="90" w:type="dxa"/>
              <w:bottom w:w="60" w:type="dxa"/>
              <w:right w:w="90" w:type="dxa"/>
            </w:tcMar>
          </w:tcPr>
          <w:p w14:paraId="7092FFD2" w14:textId="77777777" w:rsidR="00D97A56" w:rsidRDefault="00000000" w:rsidP="00C27E48">
            <w:pPr>
              <w:ind w:firstLine="0"/>
              <w:jc w:val="center"/>
              <w:rPr>
                <w:sz w:val="24"/>
                <w:szCs w:val="24"/>
              </w:rPr>
            </w:pPr>
            <w:r>
              <w:rPr>
                <w:sz w:val="24"/>
                <w:szCs w:val="24"/>
              </w:rPr>
              <w:t>Обеспечить доступ к вакансиям, возможность обращаться без направления, разумное приспособление и использование средств на обучение и рабочие места.</w:t>
            </w:r>
          </w:p>
        </w:tc>
        <w:tc>
          <w:tcPr>
            <w:tcW w:w="1455" w:type="dxa"/>
            <w:tcMar>
              <w:top w:w="60" w:type="dxa"/>
              <w:left w:w="90" w:type="dxa"/>
              <w:bottom w:w="60" w:type="dxa"/>
              <w:right w:w="90" w:type="dxa"/>
            </w:tcMar>
          </w:tcPr>
          <w:p w14:paraId="526D06F6" w14:textId="77777777" w:rsidR="00D97A56" w:rsidRDefault="00000000" w:rsidP="00C27E48">
            <w:pPr>
              <w:ind w:firstLine="0"/>
              <w:jc w:val="center"/>
              <w:rPr>
                <w:sz w:val="24"/>
                <w:szCs w:val="24"/>
              </w:rPr>
            </w:pPr>
            <w:r>
              <w:rPr>
                <w:sz w:val="24"/>
                <w:szCs w:val="24"/>
              </w:rPr>
              <w:t>Принято.</w:t>
            </w:r>
          </w:p>
        </w:tc>
        <w:tc>
          <w:tcPr>
            <w:tcW w:w="3200" w:type="dxa"/>
            <w:tcMar>
              <w:top w:w="60" w:type="dxa"/>
              <w:left w:w="90" w:type="dxa"/>
              <w:bottom w:w="60" w:type="dxa"/>
              <w:right w:w="90" w:type="dxa"/>
            </w:tcMar>
          </w:tcPr>
          <w:p w14:paraId="3BB0E5F5" w14:textId="77777777" w:rsidR="00D97A56" w:rsidRDefault="00000000" w:rsidP="00C27E48">
            <w:pPr>
              <w:ind w:firstLine="0"/>
              <w:jc w:val="center"/>
              <w:rPr>
                <w:sz w:val="24"/>
                <w:szCs w:val="24"/>
              </w:rPr>
            </w:pPr>
            <w:r>
              <w:rPr>
                <w:sz w:val="24"/>
                <w:szCs w:val="24"/>
              </w:rPr>
              <w:t>Законопроект защищает самостоятельное обращение, предусматривает подбор и обучение под вакансию, компенсацию разумного приспособления, поддержку первого рабочего места и сохранение занятости.</w:t>
            </w:r>
          </w:p>
        </w:tc>
      </w:tr>
    </w:tbl>
    <w:p w14:paraId="273BC765" w14:textId="77777777" w:rsidR="00D97A56" w:rsidRDefault="00D97A56"/>
    <w:p w14:paraId="3B5D3FAA" w14:textId="77777777" w:rsidR="00D97A56" w:rsidRDefault="00D97A56"/>
    <w:p w14:paraId="1B77B023" w14:textId="108CC748" w:rsidR="00D97A56" w:rsidRPr="00C27E48" w:rsidRDefault="00000000" w:rsidP="00C27E48">
      <w:pPr>
        <w:keepNext/>
        <w:rPr>
          <w:b/>
          <w:bCs/>
          <w:lang w:val="ky-KG"/>
        </w:rPr>
      </w:pPr>
      <w:r>
        <w:rPr>
          <w:b/>
          <w:bCs/>
        </w:rPr>
        <w:t>5. Анализ соответствия проекта законодательству</w:t>
      </w:r>
    </w:p>
    <w:p w14:paraId="59ACFBF7" w14:textId="77777777" w:rsidR="00D97A56" w:rsidRDefault="00000000">
      <w:r>
        <w:t>Законопроект не противоречит Конституции Кыргызской Республики, другим законам Кыргызской Республики и вступившим в установленном законом порядке в силу международным договорам, участницей которых является Кыргызская Республика. Поправки согласуют Бюджетный кодекс, кодексы о неналоговых доходах и о правонарушениях, Налоговый и Трудовой кодексы, законы «О содействии занятости населения» и «О правах и гарантиях лиц с инвалидностью».</w:t>
      </w:r>
    </w:p>
    <w:p w14:paraId="5C4B16FC" w14:textId="77777777" w:rsidR="00D97A56" w:rsidRDefault="00000000">
      <w:r>
        <w:t>Компенсационный платеж не является штрафом. Он представляет собой установленный законом способ исполнения обязанности за незаполненное место. Ответственность наступает за иные юридические факты: неуплату или неполную уплату, необоснованный отказ, недостоверные сведения либо имитацию исполнения квоты. Поэтому законопроект не устанавливает повторную ответственность за одно деяние.</w:t>
      </w:r>
    </w:p>
    <w:p w14:paraId="47BD9CBC" w14:textId="77777777" w:rsidR="00D97A56" w:rsidRDefault="00000000">
      <w:r>
        <w:t>Для целей расчета государственным органам и работодателю требуется подтверждение статуса инвалидности, но не диагноз. Объем передаваемых сведений ограничивается целями определения и заполнения квоты, содействия трудоустройству и контроля. Порядок доступа и защиты данных устанавливается Кабинетом Министров в соответствии с законодательством о персональных данных и цифровым законодательством.</w:t>
      </w:r>
    </w:p>
    <w:p w14:paraId="5032B44F" w14:textId="77777777" w:rsidR="00D97A56" w:rsidRDefault="00000000">
      <w:r>
        <w:t>Кыргызская Республика ратифицировала Конвенцию ООН о правах инвалидов Законом Кыргызской Республики от 13 марта 2019 года № 34. Статья 27 Конвенции признает право лиц с инвалидностью на труд в условиях открытого, инклюзивного и доступного рынка труда. Она требует запрещать дискриминацию при найме и сохранении работы, обеспечивать разумное приспособление, содействовать приобретению опыта работы, профессиональной реабилитации, сохранению занятости и найму лиц с инвалидностью в частном секторе.</w:t>
      </w:r>
    </w:p>
    <w:p w14:paraId="443C16A3" w14:textId="77777777" w:rsidR="00D97A56" w:rsidRDefault="00000000">
      <w:r>
        <w:t xml:space="preserve">Статья 5 Конвенции требует равной и эффективной защиты от дискриминации и принятия мер для обеспечения разумного приспособления. Пункт 3 статьи 4 требует тесных консультаций с лицами с инвалидностью и их активного вовлечения через представляющие их организации при подготовке решений, затрагивающих их права. Предлагаемые нормы о самостоятельном обращении к работодателю, объективных критериях </w:t>
      </w:r>
      <w:r>
        <w:lastRenderedPageBreak/>
        <w:t>отбора, разумном приспособлении, обучении и участии лиц с инвалидностью в Наблюдательном совете направлены на исполнение этих обязательств.</w:t>
      </w:r>
    </w:p>
    <w:p w14:paraId="503D402F" w14:textId="77777777" w:rsidR="00D97A56" w:rsidRDefault="00D97A56"/>
    <w:p w14:paraId="5D7C37F9" w14:textId="03C5BED2" w:rsidR="00D97A56" w:rsidRPr="00C27E48" w:rsidRDefault="00000000" w:rsidP="00C27E48">
      <w:pPr>
        <w:keepNext/>
        <w:rPr>
          <w:b/>
          <w:bCs/>
          <w:lang w:val="ky-KG"/>
        </w:rPr>
      </w:pPr>
      <w:r>
        <w:rPr>
          <w:b/>
          <w:bCs/>
        </w:rPr>
        <w:t>6. Информация о необходимости финансирования и финансово-экономических расчетах</w:t>
      </w:r>
    </w:p>
    <w:p w14:paraId="017C27B3" w14:textId="77777777" w:rsidR="00D97A56" w:rsidRDefault="00000000">
      <w:r>
        <w:t>Для реализации закона потребуются расходы на разработку и интеграцию информационных систем налоговой службы, службы занятости и других государственных органов, защиту данных, техническую поддержку и обучение работников. В республиканском бюджете необходимо предусматривать отдельную бюджетную программу для компенсации расходов на разумное приспособление, обучения под конкретную вакансию, поддержки первого рабочего места, сохранения занятости и самозанятости или предпринимательства лиц с инвалидностью.</w:t>
      </w:r>
    </w:p>
    <w:p w14:paraId="130BA225" w14:textId="77777777" w:rsidR="00D97A56" w:rsidRDefault="00000000">
      <w:r>
        <w:t>Компенсационные платежи зачисляются в республиканский бюджет по отдельному коду неналоговых доходов. Объем бюджетной программы ежегодно определяется законом о республиканском бюджете с учетом прогноза поступлений платежа и обоснованной потребности в мерах занятости. Поступление платежей и расходование средств не образуют внебюджетный фонд.</w:t>
      </w:r>
    </w:p>
    <w:p w14:paraId="40582E0C" w14:textId="77777777" w:rsidR="00D97A56" w:rsidRDefault="00000000">
      <w:r>
        <w:t>Расчет совокупных поступлений, количества затрагиваемых работодателей, административных расходов, затрат на информационные системы и потребности в финансировании каждой меры проводится в рамках начатого анализа регулятивного воздействия. В АРВ проверяются также расчеты, представленные заинтересованными сторонами, включая оценку Международного делового совета о возможных поступлениях в размере 1,8–2,2 млрд сомов в год. До завершения АРВ эти оценки не являются окончательным финансовым прогнозом законопроекта.</w:t>
      </w:r>
    </w:p>
    <w:p w14:paraId="11EB6814" w14:textId="77777777" w:rsidR="00D97A56" w:rsidRDefault="00D97A56"/>
    <w:p w14:paraId="3A55B7A7" w14:textId="54363177" w:rsidR="00D97A56" w:rsidRPr="00C27E48" w:rsidRDefault="00000000" w:rsidP="00C27E48">
      <w:pPr>
        <w:keepNext/>
        <w:rPr>
          <w:b/>
          <w:bCs/>
          <w:lang w:val="ky-KG"/>
        </w:rPr>
      </w:pPr>
      <w:r>
        <w:rPr>
          <w:b/>
          <w:bCs/>
        </w:rPr>
        <w:t>7. Информация о проведении анализа регулятивного воздействия</w:t>
      </w:r>
    </w:p>
    <w:p w14:paraId="057353CB" w14:textId="77777777" w:rsidR="00D97A56" w:rsidRDefault="00000000">
      <w:r>
        <w:t>Законопроект устанавливает обязанности и экономическую нагрузку для субъектов предпринимательства, поэтому в соответствии с Методикой проведения анализа регулятивного воздействия нормативных правовых актов на деятельность субъектов предпринимательства, утвержденной постановлением Кабинета Министров Кыргызской Республики от 10 августа 2022 года № 444, проводится анализ регулятивного воздействия.</w:t>
      </w:r>
    </w:p>
    <w:p w14:paraId="34624938" w14:textId="77777777" w:rsidR="00D97A56" w:rsidRDefault="00000000">
      <w:r>
        <w:t>23 сентября 2026 года создана рабочая группа по проведению АРВ. В ее работу включены представители государственных органов, Федерации профсоюзов Кыргызстана, организаций лиц с инвалидностью и бизнес-ассоциаций. Международный деловой совет приглашался к участию, но в рабочую группу своего представителя не направил; его письменные расчеты и предложения используются как материалы заинтересованной стороны. На дату подготовки настоящей справки АРВ разрабатывается.</w:t>
      </w:r>
    </w:p>
    <w:p w14:paraId="399FC535" w14:textId="77777777" w:rsidR="00D97A56" w:rsidRDefault="00000000">
      <w:r>
        <w:t xml:space="preserve">В ходе АРВ сопоставляются сохранение действующего регулирования, усиление контроля без компенсационного платежа и предлагаемый квотно-платежный механизм. Оценке подлежат количество работодателей и </w:t>
      </w:r>
      <w:r>
        <w:lastRenderedPageBreak/>
        <w:t>работников, число незаполненных мест, доступность кандидатов по квалификациям, размер платежей, расходы бизнеса и бюджета, стоимость информационных решений и разумного приспособления, влияние на малый и средний бизнес, а также ожидаемое число созданных и сохраненных рабочих мест.</w:t>
      </w:r>
    </w:p>
    <w:p w14:paraId="415D5041" w14:textId="77777777" w:rsidR="000E5858" w:rsidRPr="000E5858" w:rsidRDefault="000E5858" w:rsidP="000E5858">
      <w:pPr>
        <w:spacing w:after="120"/>
        <w:ind w:firstLine="0"/>
        <w:rPr>
          <w:rFonts w:cstheme="minorBidi"/>
          <w:szCs w:val="22"/>
          <w:lang w:val="ky-KG" w:eastAsia="en-US"/>
        </w:rPr>
      </w:pPr>
    </w:p>
    <w:p w14:paraId="33DCAAD3" w14:textId="3341AC34" w:rsidR="000E5858" w:rsidRPr="00C27E48" w:rsidRDefault="000E5858" w:rsidP="000E5858">
      <w:pPr>
        <w:ind w:firstLine="708"/>
        <w:jc w:val="left"/>
        <w:rPr>
          <w:b/>
          <w:bCs/>
          <w:lang w:val="ky-KG" w:eastAsia="en-US"/>
        </w:rPr>
      </w:pPr>
      <w:r w:rsidRPr="000E5858">
        <w:rPr>
          <w:b/>
          <w:bCs/>
          <w:lang w:eastAsia="en-US"/>
        </w:rPr>
        <w:t xml:space="preserve"> Депутат</w:t>
      </w:r>
    </w:p>
    <w:p w14:paraId="339238FE" w14:textId="77777777" w:rsidR="000E5858" w:rsidRPr="000E5858" w:rsidRDefault="000E5858" w:rsidP="000E5858">
      <w:pPr>
        <w:ind w:firstLine="0"/>
        <w:jc w:val="left"/>
        <w:rPr>
          <w:b/>
          <w:bCs/>
          <w:lang w:eastAsia="en-US"/>
        </w:rPr>
      </w:pPr>
      <w:r w:rsidRPr="000E5858">
        <w:rPr>
          <w:b/>
          <w:bCs/>
          <w:lang w:eastAsia="en-US"/>
        </w:rPr>
        <w:t xml:space="preserve">   Жогорку Кенеша </w:t>
      </w:r>
    </w:p>
    <w:p w14:paraId="0BA14809" w14:textId="77777777" w:rsidR="000E5858" w:rsidRPr="000E5858" w:rsidRDefault="000E5858" w:rsidP="000E5858">
      <w:pPr>
        <w:ind w:firstLine="0"/>
        <w:jc w:val="left"/>
        <w:rPr>
          <w:b/>
          <w:bCs/>
          <w:lang w:eastAsia="en-US"/>
        </w:rPr>
      </w:pPr>
      <w:r w:rsidRPr="000E5858">
        <w:rPr>
          <w:b/>
          <w:bCs/>
          <w:lang w:eastAsia="en-US"/>
        </w:rPr>
        <w:t xml:space="preserve">   Кыргызской Республики     </w:t>
      </w:r>
      <w:r w:rsidRPr="000E5858">
        <w:rPr>
          <w:b/>
          <w:bCs/>
          <w:lang w:eastAsia="en-US"/>
        </w:rPr>
        <w:tab/>
      </w:r>
      <w:r w:rsidRPr="000E5858">
        <w:rPr>
          <w:b/>
          <w:bCs/>
          <w:lang w:eastAsia="en-US"/>
        </w:rPr>
        <w:tab/>
      </w:r>
      <w:r w:rsidRPr="000E5858">
        <w:rPr>
          <w:b/>
          <w:bCs/>
          <w:lang w:eastAsia="en-US"/>
        </w:rPr>
        <w:tab/>
      </w:r>
      <w:r w:rsidRPr="000E5858">
        <w:rPr>
          <w:b/>
          <w:bCs/>
          <w:lang w:eastAsia="en-US"/>
        </w:rPr>
        <w:tab/>
      </w:r>
      <w:r w:rsidRPr="000E5858">
        <w:rPr>
          <w:b/>
          <w:bCs/>
          <w:lang w:eastAsia="en-US"/>
        </w:rPr>
        <w:tab/>
        <w:t>Дастан Бекешев</w:t>
      </w:r>
    </w:p>
    <w:sectPr w:rsidR="000E5858" w:rsidRPr="000E5858" w:rsidSect="00034616">
      <w:pgSz w:w="11906" w:h="16838"/>
      <w:pgMar w:top="1134" w:right="850" w:bottom="1134" w:left="1701" w:header="45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D8B6A" w14:textId="77777777" w:rsidR="00143AF4" w:rsidRDefault="00143AF4">
      <w:r>
        <w:separator/>
      </w:r>
    </w:p>
  </w:endnote>
  <w:endnote w:type="continuationSeparator" w:id="0">
    <w:p w14:paraId="63000F3E" w14:textId="77777777" w:rsidR="00143AF4" w:rsidRDefault="00143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B1AB8" w14:textId="77777777" w:rsidR="00143AF4" w:rsidRDefault="00143AF4">
      <w:r>
        <w:separator/>
      </w:r>
    </w:p>
  </w:footnote>
  <w:footnote w:type="continuationSeparator" w:id="0">
    <w:p w14:paraId="0B73C811" w14:textId="77777777" w:rsidR="00143AF4" w:rsidRDefault="00143A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29749462">
    <w:abstractNumId w:val="8"/>
  </w:num>
  <w:num w:numId="2" w16cid:durableId="1340622419">
    <w:abstractNumId w:val="6"/>
  </w:num>
  <w:num w:numId="3" w16cid:durableId="1033072977">
    <w:abstractNumId w:val="5"/>
  </w:num>
  <w:num w:numId="4" w16cid:durableId="1181047248">
    <w:abstractNumId w:val="4"/>
  </w:num>
  <w:num w:numId="5" w16cid:durableId="1200124974">
    <w:abstractNumId w:val="7"/>
  </w:num>
  <w:num w:numId="6" w16cid:durableId="1916549645">
    <w:abstractNumId w:val="3"/>
  </w:num>
  <w:num w:numId="7" w16cid:durableId="926112553">
    <w:abstractNumId w:val="2"/>
  </w:num>
  <w:num w:numId="8" w16cid:durableId="1355568724">
    <w:abstractNumId w:val="1"/>
  </w:num>
  <w:num w:numId="9" w16cid:durableId="100687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67D"/>
    <w:rsid w:val="000558F1"/>
    <w:rsid w:val="000576BA"/>
    <w:rsid w:val="0006063C"/>
    <w:rsid w:val="000A6BD6"/>
    <w:rsid w:val="000E5858"/>
    <w:rsid w:val="00143AF4"/>
    <w:rsid w:val="0015074B"/>
    <w:rsid w:val="00170C5E"/>
    <w:rsid w:val="00273E81"/>
    <w:rsid w:val="0029639D"/>
    <w:rsid w:val="00326F90"/>
    <w:rsid w:val="003730C7"/>
    <w:rsid w:val="004818D5"/>
    <w:rsid w:val="004C34F3"/>
    <w:rsid w:val="004C74A3"/>
    <w:rsid w:val="004D79B3"/>
    <w:rsid w:val="007D2B03"/>
    <w:rsid w:val="008605F7"/>
    <w:rsid w:val="00914E30"/>
    <w:rsid w:val="009D67B0"/>
    <w:rsid w:val="00A27F08"/>
    <w:rsid w:val="00AA1D8D"/>
    <w:rsid w:val="00B301C4"/>
    <w:rsid w:val="00B47730"/>
    <w:rsid w:val="00C27E48"/>
    <w:rsid w:val="00CB0664"/>
    <w:rsid w:val="00D97A56"/>
    <w:rsid w:val="00E517B1"/>
    <w:rsid w:val="00F032D5"/>
    <w:rsid w:val="00FA51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76A22A"/>
  <w14:defaultImageDpi w14:val="300"/>
  <w15:docId w15:val="{528665DE-E972-4998-A858-56A4B11A9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ind w:firstLine="709"/>
      <w:jc w:val="both"/>
    </w:pPr>
  </w:style>
  <w:style w:type="paragraph" w:styleId="1">
    <w:name w:val="heading 1"/>
    <w:basedOn w:val="a1"/>
    <w:next w:val="a1"/>
    <w:link w:val="10"/>
    <w:uiPriority w:val="9"/>
    <w:qFormat/>
    <w:rsid w:val="00FC693F"/>
    <w:pPr>
      <w:keepNext/>
      <w:keepLines/>
      <w:spacing w:before="120"/>
      <w:ind w:firstLine="0"/>
      <w:jc w:val="center"/>
      <w:outlineLvl w:val="0"/>
    </w:pPr>
    <w:rPr>
      <w:rFonts w:asciiTheme="majorHAnsi" w:eastAsiaTheme="majorEastAsia" w:hAnsiTheme="majorHAnsi" w:cstheme="majorBidi"/>
      <w:b/>
      <w:bCs/>
    </w:rPr>
  </w:style>
  <w:style w:type="paragraph" w:styleId="21">
    <w:name w:val="heading 2"/>
    <w:basedOn w:val="a1"/>
    <w:next w:val="a1"/>
    <w:link w:val="22"/>
    <w:uiPriority w:val="9"/>
    <w:unhideWhenUsed/>
    <w:qFormat/>
    <w:rsid w:val="00FC693F"/>
    <w:pPr>
      <w:keepNext/>
      <w:keepLines/>
      <w:spacing w:before="120"/>
      <w:ind w:firstLine="0"/>
      <w:jc w:val="center"/>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120"/>
      <w:ind w:firstLine="0"/>
      <w:jc w:val="center"/>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0E5858"/>
    <w:rPr>
      <w:color w:val="0000FF" w:themeColor="hyperlink"/>
      <w:u w:val="single"/>
    </w:rPr>
  </w:style>
  <w:style w:type="character" w:styleId="aff9">
    <w:name w:val="Unresolved Mention"/>
    <w:basedOn w:val="a2"/>
    <w:uiPriority w:val="99"/>
    <w:semiHidden/>
    <w:unhideWhenUsed/>
    <w:rsid w:val="000E5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ments1.worldbank.org/curated/en/099022325080514709/pdf/P501658-9f3ca4ec-f6c5-41fd-855a-1e78f5e179b5.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aktus.media/doc/552078_depytat_predlojil_vvesti_kompensacionnyy_platej_vmesto_kvoty_dlia_ludey_s_invalidnostu.html" TargetMode="External"/><Relationship Id="rId5" Type="http://schemas.openxmlformats.org/officeDocument/2006/relationships/webSettings" Target="webSettings.xml"/><Relationship Id="rId10" Type="http://schemas.openxmlformats.org/officeDocument/2006/relationships/hyperlink" Target="https://caravan-info.kg/ru/obschestvo/180339-deputat-predlozhil-biznesu-perechislyat-sredstva-vmesto-nerabotayuschih-kvot-po-trudoustroystvu-invalidov.html" TargetMode="External"/><Relationship Id="rId4" Type="http://schemas.openxmlformats.org/officeDocument/2006/relationships/settings" Target="settings.xml"/><Relationship Id="rId9" Type="http://schemas.openxmlformats.org/officeDocument/2006/relationships/hyperlink" Target="https://stat.gov.kg/ru/living-w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51B97-B25A-4775-898F-BDD73CE87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4211</Words>
  <Characters>24008</Characters>
  <Application>Microsoft Office Word</Application>
  <DocSecurity>0</DocSecurity>
  <Lines>200</Lines>
  <Paragraphs>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Справка-обоснование — редакция 10</vt:lpstr>
      <vt:lpstr/>
    </vt:vector>
  </TitlesOfParts>
  <Manager/>
  <Company/>
  <LinksUpToDate>false</LinksUpToDate>
  <CharactersWithSpaces>28163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Справка-обоснование — редакция 10</dc:title>
  <dc:subject/>
  <dc:creator>Рабочая группа</dc:creator>
  <cp:keywords/>
  <dc:description>generated by python-docx</dc:description>
  <cp:lastModifiedBy>Пользователь</cp:lastModifiedBy>
  <cp:revision>2</cp:revision>
  <dcterms:created xsi:type="dcterms:W3CDTF">2026-10-12T10:38:00Z</dcterms:created>
  <dcterms:modified xsi:type="dcterms:W3CDTF">2026-10-12T10:38:00Z</dcterms:modified>
  <cp:category/>
</cp:coreProperties>
</file>