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D6C86" w14:textId="77777777" w:rsidR="00A24296" w:rsidRDefault="00233BBE">
      <w:pPr>
        <w:jc w:val="center"/>
      </w:pPr>
      <w:bookmarkStart w:id="0" w:name="_GoBack"/>
      <w:bookmarkEnd w:id="0"/>
      <w:r>
        <w:rPr>
          <w:b/>
          <w:bCs/>
        </w:rPr>
        <w:t>СРАВНИТЕЛЬНАЯ ТАБЛИЦА</w:t>
      </w:r>
    </w:p>
    <w:p w14:paraId="5739208D" w14:textId="77777777" w:rsidR="00A24296" w:rsidRDefault="00233BBE">
      <w:pPr>
        <w:jc w:val="center"/>
      </w:pPr>
      <w:r>
        <w:rPr>
          <w:b/>
          <w:bCs/>
        </w:rPr>
        <w:t>к проекту Закона Кыргызской Республики «О внесении изменений в</w:t>
      </w:r>
    </w:p>
    <w:p w14:paraId="45A2B330" w14:textId="77777777" w:rsidR="00A24296" w:rsidRDefault="00233BBE">
      <w:pPr>
        <w:jc w:val="center"/>
      </w:pPr>
      <w:r>
        <w:rPr>
          <w:b/>
          <w:bCs/>
        </w:rPr>
        <w:t>некоторые законодательные акты Кыргызской Республики по вопросам образования»</w:t>
      </w:r>
    </w:p>
    <w:p w14:paraId="0DC11CD8" w14:textId="77777777" w:rsidR="00A24296" w:rsidRDefault="00A24296"/>
    <w:tbl>
      <w:tblPr>
        <w:tblW w:w="14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5"/>
        <w:gridCol w:w="7285"/>
      </w:tblGrid>
      <w:tr w:rsidR="00A24296" w14:paraId="26C73B94" w14:textId="77777777" w:rsidTr="00715DEE">
        <w:trPr>
          <w:jc w:val="center"/>
        </w:trPr>
        <w:tc>
          <w:tcPr>
            <w:tcW w:w="7285" w:type="dxa"/>
          </w:tcPr>
          <w:p w14:paraId="447C4D3B" w14:textId="77777777" w:rsidR="00A24296" w:rsidRDefault="00233BBE">
            <w:pPr>
              <w:ind w:firstLine="709"/>
              <w:jc w:val="center"/>
            </w:pPr>
            <w:r>
              <w:rPr>
                <w:b/>
                <w:bCs/>
              </w:rPr>
              <w:t>Действующая редакция</w:t>
            </w:r>
          </w:p>
        </w:tc>
        <w:tc>
          <w:tcPr>
            <w:tcW w:w="7285" w:type="dxa"/>
          </w:tcPr>
          <w:p w14:paraId="6FABA433" w14:textId="77777777" w:rsidR="00A24296" w:rsidRDefault="00233BBE">
            <w:pPr>
              <w:ind w:firstLine="709"/>
              <w:jc w:val="center"/>
            </w:pPr>
            <w:r>
              <w:rPr>
                <w:b/>
                <w:bCs/>
              </w:rPr>
              <w:t>Предлагаемая редакция</w:t>
            </w:r>
          </w:p>
        </w:tc>
      </w:tr>
      <w:tr w:rsidR="00A24296" w14:paraId="361DBE6A" w14:textId="77777777">
        <w:trPr>
          <w:jc w:val="center"/>
        </w:trPr>
        <w:tc>
          <w:tcPr>
            <w:tcW w:w="14570" w:type="dxa"/>
            <w:gridSpan w:val="2"/>
          </w:tcPr>
          <w:p w14:paraId="44456AC4" w14:textId="77777777" w:rsidR="00A24296" w:rsidRDefault="00233BBE">
            <w:pPr>
              <w:ind w:firstLine="709"/>
              <w:jc w:val="center"/>
            </w:pPr>
            <w:r>
              <w:rPr>
                <w:b/>
                <w:bCs/>
              </w:rPr>
              <w:t>Бюджетный кодекс Кыргызской Республики</w:t>
            </w:r>
          </w:p>
        </w:tc>
      </w:tr>
      <w:tr w:rsidR="00A24296" w14:paraId="72B4D4D9" w14:textId="77777777">
        <w:trPr>
          <w:jc w:val="center"/>
        </w:trPr>
        <w:tc>
          <w:tcPr>
            <w:tcW w:w="7285" w:type="dxa"/>
          </w:tcPr>
          <w:p w14:paraId="2E1EC0DA" w14:textId="77777777" w:rsidR="00A24296" w:rsidRDefault="00233BBE">
            <w:pPr>
              <w:ind w:firstLine="709"/>
              <w:jc w:val="center"/>
            </w:pPr>
            <w:r>
              <w:t>Отсутствует</w:t>
            </w:r>
          </w:p>
        </w:tc>
        <w:tc>
          <w:tcPr>
            <w:tcW w:w="7285" w:type="dxa"/>
          </w:tcPr>
          <w:p w14:paraId="6CD92497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Статья 50-2. Расходы на проведение общереспубликанского тестирования</w:t>
            </w:r>
          </w:p>
          <w:p w14:paraId="615D93F0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1. Расходы на первое прохождение общереспубликанского тестирования, проводимого негосударственной некоммерческой организацией в соответствии с Законом Кыргызской Республики </w:t>
            </w:r>
            <w:r>
              <w:rPr>
                <w:b/>
                <w:bCs/>
              </w:rPr>
              <w:t>«Об образовании», осуществляются за счет средств республиканского бюджета.</w:t>
            </w:r>
          </w:p>
          <w:p w14:paraId="5E014B5B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2. Порядок финансирования проведения общереспубликанского тестирования и методика определения стоимости его проведения в расчете на одно лицо определяются Кабинетом Министров Кыргыз</w:t>
            </w:r>
            <w:r>
              <w:rPr>
                <w:b/>
                <w:bCs/>
              </w:rPr>
              <w:t>ской Республики.</w:t>
            </w:r>
          </w:p>
        </w:tc>
      </w:tr>
      <w:tr w:rsidR="00A24296" w14:paraId="74A6A01F" w14:textId="77777777">
        <w:trPr>
          <w:jc w:val="center"/>
        </w:trPr>
        <w:tc>
          <w:tcPr>
            <w:tcW w:w="14570" w:type="dxa"/>
            <w:gridSpan w:val="2"/>
          </w:tcPr>
          <w:p w14:paraId="1E566D2A" w14:textId="77777777" w:rsidR="00A24296" w:rsidRDefault="00233BBE">
            <w:pPr>
              <w:ind w:firstLine="709"/>
              <w:jc w:val="center"/>
            </w:pPr>
            <w:r>
              <w:rPr>
                <w:b/>
                <w:bCs/>
              </w:rPr>
              <w:t>Кодекс Кыргызской Республики о правонарушениях</w:t>
            </w:r>
          </w:p>
        </w:tc>
      </w:tr>
      <w:tr w:rsidR="00A24296" w14:paraId="3615D107" w14:textId="77777777">
        <w:trPr>
          <w:jc w:val="center"/>
        </w:trPr>
        <w:tc>
          <w:tcPr>
            <w:tcW w:w="7285" w:type="dxa"/>
          </w:tcPr>
          <w:p w14:paraId="3759CA7C" w14:textId="77777777" w:rsidR="00A24296" w:rsidRDefault="00233BBE">
            <w:pPr>
              <w:ind w:firstLine="709"/>
              <w:jc w:val="center"/>
            </w:pPr>
            <w:r>
              <w:t>Отсутствует</w:t>
            </w:r>
          </w:p>
        </w:tc>
        <w:tc>
          <w:tcPr>
            <w:tcW w:w="7285" w:type="dxa"/>
          </w:tcPr>
          <w:p w14:paraId="0AB9CF64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Статья 92-1. Нарушение трудовых гарантий педагогического работника</w:t>
            </w:r>
          </w:p>
          <w:p w14:paraId="1555E8BA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1. Возложение на педагогического работника обязанности по выполнению работ, не связанных с профессиональной пед</w:t>
            </w:r>
            <w:r>
              <w:rPr>
                <w:b/>
                <w:bCs/>
              </w:rPr>
              <w:t>агогической деятельностью, либо принуждение его к выполнению таких работ в нарушение требований Закона Кыргызской Республики «Об образовании» -</w:t>
            </w:r>
          </w:p>
          <w:p w14:paraId="1BCDE04B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lastRenderedPageBreak/>
              <w:t>влечет наложение штрафа на физических лиц в размере 75 расчетных показателей, на юридических лиц - 230 расчетных</w:t>
            </w:r>
            <w:r>
              <w:rPr>
                <w:b/>
                <w:bCs/>
              </w:rPr>
              <w:t xml:space="preserve"> показателей.</w:t>
            </w:r>
          </w:p>
          <w:p w14:paraId="442263FA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2. Применение дисциплинарного взыскания, расторжение трудового договора, уменьшение педагогической нагрузки, снижение или лишение выплат стимулирующего характера либо иное ухудшение условий труда педагогического работника в связи с его </w:t>
            </w:r>
            <w:r>
              <w:rPr>
                <w:b/>
                <w:bCs/>
              </w:rPr>
              <w:t>отказом от выполнения работ, не связанных с профессиональной педагогической деятельностью, в нарушение требований Закона Кыргызской Республики «Об образовании» -</w:t>
            </w:r>
          </w:p>
          <w:p w14:paraId="766259A4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влечет наложение штрафа на физических лиц в размере 200 расчетных показателей, на юридических </w:t>
            </w:r>
            <w:r>
              <w:rPr>
                <w:b/>
                <w:bCs/>
              </w:rPr>
              <w:t>лиц - 650 расчетных показателей.</w:t>
            </w:r>
          </w:p>
        </w:tc>
      </w:tr>
      <w:tr w:rsidR="00A24296" w14:paraId="49B51655" w14:textId="77777777">
        <w:trPr>
          <w:jc w:val="center"/>
        </w:trPr>
        <w:tc>
          <w:tcPr>
            <w:tcW w:w="7285" w:type="dxa"/>
          </w:tcPr>
          <w:p w14:paraId="7E00DB79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lastRenderedPageBreak/>
              <w:t>Статья 458. Уполномоченный орган в сфере охраны труда</w:t>
            </w:r>
          </w:p>
          <w:p w14:paraId="01F09A4F" w14:textId="77777777" w:rsidR="00A24296" w:rsidRDefault="00233BBE">
            <w:pPr>
              <w:ind w:firstLine="709"/>
              <w:jc w:val="both"/>
            </w:pPr>
            <w:r>
              <w:t xml:space="preserve">Уполномоченный орган в сфере охраны труда рассматривает дела о правонарушениях и налагает взыскания, предусмотренные статьями </w:t>
            </w:r>
            <w:r>
              <w:rPr>
                <w:b/>
                <w:bCs/>
              </w:rPr>
              <w:t>86-92 и 136</w:t>
            </w:r>
            <w:r>
              <w:t xml:space="preserve"> настоящего Кодекса.</w:t>
            </w:r>
          </w:p>
        </w:tc>
        <w:tc>
          <w:tcPr>
            <w:tcW w:w="7285" w:type="dxa"/>
          </w:tcPr>
          <w:p w14:paraId="065C8B2A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Статья 458</w:t>
            </w:r>
            <w:r>
              <w:rPr>
                <w:b/>
                <w:bCs/>
              </w:rPr>
              <w:t>. Уполномоченный орган в сфере охраны труда</w:t>
            </w:r>
          </w:p>
          <w:p w14:paraId="27538229" w14:textId="77777777" w:rsidR="00A24296" w:rsidRDefault="00233BBE">
            <w:pPr>
              <w:ind w:firstLine="709"/>
              <w:jc w:val="both"/>
            </w:pPr>
            <w:r>
              <w:t xml:space="preserve">Уполномоченный орган в сфере охраны труда рассматривает дела о правонарушениях и налагает взыскания, предусмотренные статьями </w:t>
            </w:r>
            <w:r>
              <w:rPr>
                <w:b/>
                <w:bCs/>
              </w:rPr>
              <w:t>86-92, 92-1 и 136</w:t>
            </w:r>
            <w:r>
              <w:t xml:space="preserve"> настоящего Кодекса.</w:t>
            </w:r>
          </w:p>
        </w:tc>
      </w:tr>
      <w:tr w:rsidR="00A24296" w14:paraId="3A3C9761" w14:textId="77777777">
        <w:trPr>
          <w:jc w:val="center"/>
        </w:trPr>
        <w:tc>
          <w:tcPr>
            <w:tcW w:w="14570" w:type="dxa"/>
            <w:gridSpan w:val="2"/>
          </w:tcPr>
          <w:p w14:paraId="4326955B" w14:textId="77777777" w:rsidR="00A24296" w:rsidRDefault="00233BBE">
            <w:pPr>
              <w:ind w:firstLine="709"/>
              <w:jc w:val="center"/>
            </w:pPr>
            <w:r>
              <w:rPr>
                <w:b/>
                <w:bCs/>
              </w:rPr>
              <w:t>Закон Кыргызской Республики «Об образовании»</w:t>
            </w:r>
          </w:p>
        </w:tc>
      </w:tr>
      <w:tr w:rsidR="00A24296" w14:paraId="343A0DC3" w14:textId="77777777">
        <w:trPr>
          <w:jc w:val="center"/>
        </w:trPr>
        <w:tc>
          <w:tcPr>
            <w:tcW w:w="7285" w:type="dxa"/>
          </w:tcPr>
          <w:p w14:paraId="41883D7A" w14:textId="77777777" w:rsidR="00A24296" w:rsidRDefault="00233BBE">
            <w:pPr>
              <w:ind w:firstLine="709"/>
              <w:jc w:val="center"/>
            </w:pPr>
            <w:r>
              <w:t>Отсутствует</w:t>
            </w:r>
          </w:p>
        </w:tc>
        <w:tc>
          <w:tcPr>
            <w:tcW w:w="7285" w:type="dxa"/>
          </w:tcPr>
          <w:p w14:paraId="22AB57F9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Статья 27-1. Школьная форма</w:t>
            </w:r>
          </w:p>
          <w:p w14:paraId="225ABF74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1. В общеобразовательных организациях устанавливаются требования к школьной форме обучающихся.</w:t>
            </w:r>
          </w:p>
          <w:p w14:paraId="0E6F905F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Требования к школьной форме должны соответствовать светскому характеру обучения, </w:t>
            </w:r>
            <w:r>
              <w:rPr>
                <w:b/>
                <w:bCs/>
              </w:rPr>
              <w:lastRenderedPageBreak/>
              <w:t>развития и воспитания, принципам равенст</w:t>
            </w:r>
            <w:r>
              <w:rPr>
                <w:b/>
                <w:bCs/>
              </w:rPr>
              <w:t>ва и недискриминации обучающихся.</w:t>
            </w:r>
          </w:p>
          <w:p w14:paraId="69024E12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2. Требования к школьной форме утверждаются общеобразовательной организацией после обязательного обсуждения с участием представителей педагогических работников, родителей (законных представителей) обучающихся и обучающихся</w:t>
            </w:r>
            <w:r>
              <w:rPr>
                <w:b/>
                <w:bCs/>
              </w:rPr>
              <w:t>.</w:t>
            </w:r>
          </w:p>
          <w:p w14:paraId="187A0645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Порядок обсуждения и принятия требований к школьной форме определяется уставом общеобразовательной организации.</w:t>
            </w:r>
          </w:p>
          <w:p w14:paraId="1C4F56F7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3. Требования к школьной форме должны:</w:t>
            </w:r>
          </w:p>
          <w:p w14:paraId="2AC809AA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1) обеспечивать безопасность и удобство одежды;</w:t>
            </w:r>
          </w:p>
          <w:p w14:paraId="5727809E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2) учитывать возраст обучающихся, климатические и темпе</w:t>
            </w:r>
            <w:r>
              <w:rPr>
                <w:b/>
                <w:bCs/>
              </w:rPr>
              <w:t>ратурные условия;</w:t>
            </w:r>
          </w:p>
          <w:p w14:paraId="217E20A4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3) обеспечивать экономическую доступность школьной формы;</w:t>
            </w:r>
          </w:p>
          <w:p w14:paraId="7EB6F4FD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4) предусматривать альтернативные и взаимозаменяемые варианты одежды;</w:t>
            </w:r>
          </w:p>
          <w:p w14:paraId="4BE17DB4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5) учитывать состояние здоровья и особые образовательные потребности обучающихся.</w:t>
            </w:r>
          </w:p>
          <w:p w14:paraId="24A03C88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4. Не допускается установлен</w:t>
            </w:r>
            <w:r>
              <w:rPr>
                <w:b/>
                <w:bCs/>
              </w:rPr>
              <w:t>ие требования о приобретении школьной формы или отдельных ее элементов у конкретного производителя, продавца или поставщика.</w:t>
            </w:r>
          </w:p>
          <w:p w14:paraId="323EF497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5. Несоответствие одежды обучающегося установленным требованиям к школьной форме не может являться основанием для отказа в допуске </w:t>
            </w:r>
            <w:r>
              <w:rPr>
                <w:b/>
                <w:bCs/>
              </w:rPr>
              <w:t xml:space="preserve">в общеобразовательную организацию, удаления с учебного </w:t>
            </w:r>
            <w:r>
              <w:rPr>
                <w:b/>
                <w:bCs/>
              </w:rPr>
              <w:lastRenderedPageBreak/>
              <w:t>занятия, недопуска к промежуточной или итоговой аттестации, отстранения, отчисления либо иного ограничения участия обучающегося в образовательном процессе.</w:t>
            </w:r>
          </w:p>
        </w:tc>
      </w:tr>
      <w:tr w:rsidR="00A24296" w14:paraId="11D55898" w14:textId="77777777">
        <w:trPr>
          <w:jc w:val="center"/>
        </w:trPr>
        <w:tc>
          <w:tcPr>
            <w:tcW w:w="7285" w:type="dxa"/>
          </w:tcPr>
          <w:p w14:paraId="322EC191" w14:textId="77777777" w:rsidR="00A24296" w:rsidRDefault="00233BBE">
            <w:pPr>
              <w:ind w:firstLine="709"/>
              <w:jc w:val="center"/>
            </w:pPr>
            <w:r>
              <w:lastRenderedPageBreak/>
              <w:t>Отсутствует</w:t>
            </w:r>
          </w:p>
        </w:tc>
        <w:tc>
          <w:tcPr>
            <w:tcW w:w="7285" w:type="dxa"/>
          </w:tcPr>
          <w:p w14:paraId="46C49557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Статья 32-1. Финансирование и фо</w:t>
            </w:r>
            <w:r>
              <w:rPr>
                <w:b/>
                <w:bCs/>
              </w:rPr>
              <w:t>рмы проведения общереспубликанского тестирования</w:t>
            </w:r>
          </w:p>
          <w:p w14:paraId="7EA2173F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1. Первое прохождение общереспубликанского тестирования лицом, ранее не проходившим общереспубликанское тестирование, финансируется за счет средств республиканского бюджета и является бесплатным для такого л</w:t>
            </w:r>
            <w:r>
              <w:rPr>
                <w:b/>
                <w:bCs/>
              </w:rPr>
              <w:t>ица.</w:t>
            </w:r>
          </w:p>
          <w:p w14:paraId="2B62DAA0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Право на бесплатное прохождение общереспубликанского тестирования за счет средств республиканского бюджета предоставляется однократно.</w:t>
            </w:r>
          </w:p>
          <w:p w14:paraId="0A6A0704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2. Повторное и каждое последующее прохождение общереспубликанского тестирования в случаях, предусмотренных порядком </w:t>
            </w:r>
            <w:r>
              <w:rPr>
                <w:b/>
                <w:bCs/>
              </w:rPr>
              <w:t>его проведения, осуществляется за плату, вносимую лицом, проходящим тестирование, либо его законным представителем.</w:t>
            </w:r>
          </w:p>
          <w:p w14:paraId="209BE498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Предельный размер платы за повторное и последующие прохождения общереспубликанского тестирования устанавливается уполномоченным государствен</w:t>
            </w:r>
            <w:r>
              <w:rPr>
                <w:b/>
                <w:bCs/>
              </w:rPr>
              <w:t>ным органом в сфере образования исходя из экономически обоснованных расходов на проведение тестирования.</w:t>
            </w:r>
          </w:p>
          <w:p w14:paraId="179D6148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3. Повторное прохождение общереспубликанского тестирования, назначенное в связи с обстоятельствами, возникшими не по вине лица, проходящего </w:t>
            </w:r>
            <w:r>
              <w:rPr>
                <w:b/>
                <w:bCs/>
              </w:rPr>
              <w:lastRenderedPageBreak/>
              <w:t>тестировани</w:t>
            </w:r>
            <w:r>
              <w:rPr>
                <w:b/>
                <w:bCs/>
              </w:rPr>
              <w:t>е, осуществляется без взимания платы и не считается повторным прохождением для целей настоящей статьи.</w:t>
            </w:r>
          </w:p>
          <w:p w14:paraId="0BA9B444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Основания и порядок такого повторного прохождения определяются порядком проведения общереспубликанского тестирования.</w:t>
            </w:r>
          </w:p>
          <w:p w14:paraId="08755585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4. Общереспубликанское тестирование</w:t>
            </w:r>
            <w:r>
              <w:rPr>
                <w:b/>
                <w:bCs/>
              </w:rPr>
              <w:t xml:space="preserve"> проводится в бумажной и (или) электронной форме.</w:t>
            </w:r>
          </w:p>
          <w:p w14:paraId="185E875E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Переход к проведению общереспубликанского тестирования в электронной форме осуществляется поэтапно.</w:t>
            </w:r>
          </w:p>
          <w:p w14:paraId="7D7BCF87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Порядок проведения общереспубликанского тестирования, в том числе особенности проведения тестирования в эл</w:t>
            </w:r>
            <w:r>
              <w:rPr>
                <w:b/>
                <w:bCs/>
              </w:rPr>
              <w:t>ектронной форме, определяется Кабинетом Министров Кыргызской Республики.</w:t>
            </w:r>
          </w:p>
        </w:tc>
      </w:tr>
      <w:tr w:rsidR="00A24296" w14:paraId="3841D7BE" w14:textId="77777777">
        <w:trPr>
          <w:jc w:val="center"/>
        </w:trPr>
        <w:tc>
          <w:tcPr>
            <w:tcW w:w="7285" w:type="dxa"/>
          </w:tcPr>
          <w:p w14:paraId="40B47E15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lastRenderedPageBreak/>
              <w:t>Статья 45. Социальные права и гарантии педагогического работника</w:t>
            </w:r>
          </w:p>
          <w:p w14:paraId="6755D4AD" w14:textId="77777777" w:rsidR="00A24296" w:rsidRDefault="00233BBE">
            <w:pPr>
              <w:ind w:firstLine="709"/>
              <w:jc w:val="both"/>
            </w:pPr>
            <w:r>
              <w:t>...</w:t>
            </w:r>
          </w:p>
          <w:p w14:paraId="62CCE403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 xml:space="preserve">9. Не допускается привлечение педагогических работников на сельскохозяйственные и другие работы, не связанные с </w:t>
            </w:r>
            <w:r>
              <w:rPr>
                <w:b/>
                <w:bCs/>
              </w:rPr>
              <w:t>профессиональной педагогической деятельностью.</w:t>
            </w:r>
          </w:p>
          <w:p w14:paraId="695427E5" w14:textId="77777777" w:rsidR="00A24296" w:rsidRDefault="00233BBE">
            <w:pPr>
              <w:ind w:firstLine="709"/>
              <w:jc w:val="both"/>
            </w:pPr>
            <w:r>
              <w:t>...</w:t>
            </w:r>
          </w:p>
        </w:tc>
        <w:tc>
          <w:tcPr>
            <w:tcW w:w="7285" w:type="dxa"/>
          </w:tcPr>
          <w:p w14:paraId="5C8B701B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Статья 45. Социальные права и гарантии педагогического работника</w:t>
            </w:r>
          </w:p>
          <w:p w14:paraId="6C589592" w14:textId="77777777" w:rsidR="00A24296" w:rsidRDefault="00233BBE">
            <w:pPr>
              <w:ind w:firstLine="709"/>
              <w:jc w:val="both"/>
            </w:pPr>
            <w:r>
              <w:t>...</w:t>
            </w:r>
          </w:p>
          <w:p w14:paraId="1D6EF31C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t>9. Не допускаются возложение на педагогических работников обязанности по выполнению сельскохозяйственных, ремонтных, строительных, хозяй</w:t>
            </w:r>
            <w:r>
              <w:rPr>
                <w:b/>
                <w:bCs/>
              </w:rPr>
              <w:t>ственных работ, работ по уборке и благоустройству территорий, участию в субботниках и иных работах, не связанных с профессиональной педагогической деятельностью, а также принуждение педагогических работников к выполнению таких работ, за исключением случаев</w:t>
            </w:r>
            <w:r>
              <w:rPr>
                <w:b/>
                <w:bCs/>
              </w:rPr>
              <w:t>, предусмотренных трудовым законодательством Кыргызской Республики.</w:t>
            </w:r>
          </w:p>
          <w:p w14:paraId="44713065" w14:textId="77777777" w:rsidR="00A24296" w:rsidRDefault="00233BBE">
            <w:pPr>
              <w:ind w:firstLine="709"/>
              <w:jc w:val="both"/>
            </w:pPr>
            <w:r>
              <w:rPr>
                <w:b/>
                <w:bCs/>
              </w:rPr>
              <w:lastRenderedPageBreak/>
              <w:t>9-1. Отказ педагогического работника от выполнения работ, не связанных с профессиональной педагогической деятельностью, за исключением случаев, когда выполнение таких работ допускается тру</w:t>
            </w:r>
            <w:r>
              <w:rPr>
                <w:b/>
                <w:bCs/>
              </w:rPr>
              <w:t>довым законодательством Кыргызской Республики, не является нарушением трудовой дисциплины и не может являться основанием для применения дисциплинарного взыскания, расторжения трудового договора, уменьшения педагогической нагрузки, снижения или лишения выпл</w:t>
            </w:r>
            <w:r>
              <w:rPr>
                <w:b/>
                <w:bCs/>
              </w:rPr>
              <w:t>ат стимулирующего характера либо иного ухудшения условий труда педагогического работника.</w:t>
            </w:r>
          </w:p>
          <w:p w14:paraId="455A6783" w14:textId="77777777" w:rsidR="00A24296" w:rsidRDefault="00233BBE">
            <w:pPr>
              <w:ind w:firstLine="709"/>
              <w:jc w:val="both"/>
            </w:pPr>
            <w:r>
              <w:t>...</w:t>
            </w:r>
          </w:p>
        </w:tc>
      </w:tr>
    </w:tbl>
    <w:p w14:paraId="50FE74FB" w14:textId="77777777" w:rsidR="00386FC8" w:rsidRDefault="00386FC8"/>
    <w:sectPr w:rsidR="00386FC8">
      <w:pgSz w:w="16838" w:h="11906" w:orient="landscape"/>
      <w:pgMar w:top="1701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471A8"/>
    <w:multiLevelType w:val="hybridMultilevel"/>
    <w:tmpl w:val="35D45E10"/>
    <w:lvl w:ilvl="0" w:tplc="EEE80238">
      <w:start w:val="1"/>
      <w:numFmt w:val="bullet"/>
      <w:lvlText w:val="●"/>
      <w:lvlJc w:val="left"/>
      <w:pPr>
        <w:ind w:left="720" w:hanging="360"/>
      </w:pPr>
    </w:lvl>
    <w:lvl w:ilvl="1" w:tplc="8A289030">
      <w:start w:val="1"/>
      <w:numFmt w:val="bullet"/>
      <w:lvlText w:val="○"/>
      <w:lvlJc w:val="left"/>
      <w:pPr>
        <w:ind w:left="1440" w:hanging="360"/>
      </w:pPr>
    </w:lvl>
    <w:lvl w:ilvl="2" w:tplc="0BF2C3EA">
      <w:start w:val="1"/>
      <w:numFmt w:val="bullet"/>
      <w:lvlText w:val="■"/>
      <w:lvlJc w:val="left"/>
      <w:pPr>
        <w:ind w:left="2160" w:hanging="360"/>
      </w:pPr>
    </w:lvl>
    <w:lvl w:ilvl="3" w:tplc="631EE130">
      <w:start w:val="1"/>
      <w:numFmt w:val="bullet"/>
      <w:lvlText w:val="●"/>
      <w:lvlJc w:val="left"/>
      <w:pPr>
        <w:ind w:left="2880" w:hanging="360"/>
      </w:pPr>
    </w:lvl>
    <w:lvl w:ilvl="4" w:tplc="76FC0BFA">
      <w:start w:val="1"/>
      <w:numFmt w:val="bullet"/>
      <w:lvlText w:val="○"/>
      <w:lvlJc w:val="left"/>
      <w:pPr>
        <w:ind w:left="3600" w:hanging="360"/>
      </w:pPr>
    </w:lvl>
    <w:lvl w:ilvl="5" w:tplc="B6186CBA">
      <w:start w:val="1"/>
      <w:numFmt w:val="bullet"/>
      <w:lvlText w:val="■"/>
      <w:lvlJc w:val="left"/>
      <w:pPr>
        <w:ind w:left="4320" w:hanging="360"/>
      </w:pPr>
    </w:lvl>
    <w:lvl w:ilvl="6" w:tplc="A72CE7DE">
      <w:start w:val="1"/>
      <w:numFmt w:val="bullet"/>
      <w:lvlText w:val="●"/>
      <w:lvlJc w:val="left"/>
      <w:pPr>
        <w:ind w:left="5040" w:hanging="360"/>
      </w:pPr>
    </w:lvl>
    <w:lvl w:ilvl="7" w:tplc="C2085032">
      <w:start w:val="1"/>
      <w:numFmt w:val="bullet"/>
      <w:lvlText w:val="●"/>
      <w:lvlJc w:val="left"/>
      <w:pPr>
        <w:ind w:left="5760" w:hanging="360"/>
      </w:pPr>
    </w:lvl>
    <w:lvl w:ilvl="8" w:tplc="039848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296"/>
    <w:rsid w:val="00233BBE"/>
    <w:rsid w:val="00386FC8"/>
    <w:rsid w:val="003B52D7"/>
    <w:rsid w:val="00715DEE"/>
    <w:rsid w:val="00A2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FD740"/>
  <w15:docId w15:val="{BADBC40D-877F-4E1B-80A4-FA65D0A3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2026-09-08T08:57:00Z</dcterms:created>
  <dcterms:modified xsi:type="dcterms:W3CDTF">2026-09-08T08:57:00Z</dcterms:modified>
</cp:coreProperties>
</file>