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AA3150" w14:textId="7C7B35BE" w:rsidR="0034182D" w:rsidRDefault="0034182D" w:rsidP="00F64E5C">
      <w:pPr>
        <w:jc w:val="right"/>
        <w:rPr>
          <w:szCs w:val="28"/>
          <w:lang w:val="ru-RU"/>
        </w:rPr>
      </w:pPr>
      <w:bookmarkStart w:id="0" w:name="_GoBack"/>
      <w:bookmarkEnd w:id="0"/>
      <w:r>
        <w:rPr>
          <w:szCs w:val="28"/>
          <w:lang w:val="ru-RU"/>
        </w:rPr>
        <w:t>Проект</w:t>
      </w:r>
    </w:p>
    <w:p w14:paraId="1DC9C5D8" w14:textId="77777777" w:rsidR="00F64E5C" w:rsidRPr="0034182D" w:rsidRDefault="00F64E5C" w:rsidP="00F64E5C">
      <w:pPr>
        <w:jc w:val="right"/>
        <w:rPr>
          <w:b/>
          <w:bCs/>
          <w:szCs w:val="28"/>
          <w:lang w:val="ru-RU"/>
        </w:rPr>
      </w:pPr>
    </w:p>
    <w:p w14:paraId="640E835B" w14:textId="60B7A0D8" w:rsidR="0034182D" w:rsidRPr="00F64E5C" w:rsidRDefault="0034182D" w:rsidP="00F64E5C">
      <w:pPr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ЗАКОН КЫРГЫЗСКОЙ РЕСПУБЛИКИ</w:t>
      </w:r>
    </w:p>
    <w:p w14:paraId="232F6997" w14:textId="76E08138" w:rsidR="0034182D" w:rsidRPr="0034182D" w:rsidRDefault="0034182D" w:rsidP="00F64E5C">
      <w:pPr>
        <w:spacing w:after="0" w:line="240" w:lineRule="auto"/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«О внесении изменений в Закон Кыргызской Республики</w:t>
      </w:r>
    </w:p>
    <w:p w14:paraId="1BD21F84" w14:textId="6CF297C0" w:rsidR="0034182D" w:rsidRPr="0034182D" w:rsidRDefault="0034182D" w:rsidP="00F64E5C">
      <w:pPr>
        <w:spacing w:after="0" w:line="240" w:lineRule="auto"/>
        <w:jc w:val="center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«О Регламенте Жогорку Кенеша Кыргызской Республики»</w:t>
      </w:r>
    </w:p>
    <w:p w14:paraId="0F98BF53" w14:textId="77777777" w:rsidR="0034182D" w:rsidRDefault="0034182D" w:rsidP="0034182D">
      <w:pPr>
        <w:rPr>
          <w:szCs w:val="28"/>
          <w:lang w:val="ky-KG"/>
        </w:rPr>
      </w:pPr>
    </w:p>
    <w:p w14:paraId="61B31783" w14:textId="763FFB4D" w:rsidR="0034182D" w:rsidRDefault="0034182D" w:rsidP="003605CB">
      <w:pPr>
        <w:spacing w:after="0"/>
        <w:ind w:firstLine="567"/>
        <w:rPr>
          <w:b/>
          <w:bCs/>
          <w:szCs w:val="28"/>
          <w:lang w:val="ru-RU"/>
        </w:rPr>
      </w:pPr>
      <w:r>
        <w:rPr>
          <w:b/>
          <w:bCs/>
          <w:szCs w:val="28"/>
          <w:lang w:val="ru-RU"/>
        </w:rPr>
        <w:t>Статья 1</w:t>
      </w:r>
    </w:p>
    <w:p w14:paraId="57085D3E" w14:textId="6DCD235C" w:rsidR="003605CB" w:rsidRPr="007D2839" w:rsidRDefault="003605CB" w:rsidP="006459EE">
      <w:pPr>
        <w:spacing w:after="0"/>
        <w:ind w:firstLine="567"/>
        <w:rPr>
          <w:b/>
          <w:bCs/>
          <w:szCs w:val="28"/>
          <w:lang w:val="ky-KG"/>
        </w:rPr>
      </w:pPr>
    </w:p>
    <w:p w14:paraId="68A6A5E4" w14:textId="71070BB3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Внести в Закон Кыргызской Республики «О Регламенте Жогорку Кенеша Кыргызской Республики» (газета «Эркин-Тоо» от 16 ноября 2022 года № 100-101) следующие изменения:</w:t>
      </w:r>
    </w:p>
    <w:p w14:paraId="5C370540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1) во втором предложении части 2 статьи 10 слова «в письменном виде» заменить словами «письменно (электронно)»;</w:t>
      </w:r>
    </w:p>
    <w:p w14:paraId="45D157E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2) во втором предложении части 5 статьи 11 слова «Письменное решение» заменить словами «Решение, оформленное письменно (электронно),»;</w:t>
      </w:r>
    </w:p>
    <w:p w14:paraId="0B25B866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3) часть 3 статьи 17 изложить в следующей редакции:</w:t>
      </w:r>
    </w:p>
    <w:p w14:paraId="411FCA1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«3. Представление о выдвижении кандидатов на должность Торага направляется фракциями, депутатскими группами, депутатами председательствующему на заседании Жогорку Кенеша письменно (электронно). Председательствующий составляет единый список кандидатов по очередности выдвижения и оглашает его.»;</w:t>
      </w:r>
    </w:p>
    <w:p w14:paraId="7B99A90D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4) в статье 21:</w:t>
      </w:r>
    </w:p>
    <w:p w14:paraId="50F754DA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пункт 1 части 1 изложить в следующей редакции:</w:t>
      </w:r>
    </w:p>
    <w:p w14:paraId="3B7F163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«1) подачи заявления о сложении полномочий Торага или заместителя Торага (отставки) письменно (электронно);»;</w:t>
      </w:r>
    </w:p>
    <w:p w14:paraId="1584592F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часть 2 изложить в следующей редакции:</w:t>
      </w:r>
    </w:p>
    <w:p w14:paraId="115E16B3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«2. Текст заявления о сложении полномочий Торага или заместителя Торага (отставка), поданного письменно (электронно), оглашается председательствующим на заседании Жогорку Кенеша и принимается к сведению.»;</w:t>
      </w:r>
    </w:p>
    <w:p w14:paraId="61999476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5) в части 9 статьи 25 слова «в письменном виде» заменить словами «письменно (электронно)»;</w:t>
      </w:r>
    </w:p>
    <w:p w14:paraId="5BE15EFD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6) в статье 26:</w:t>
      </w:r>
    </w:p>
    <w:p w14:paraId="7005EDD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пункт 1 части 1 изложить в следующей редакции:</w:t>
      </w:r>
    </w:p>
    <w:p w14:paraId="2E83554F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«1) подачи им заявления о сложении полномочий председателя или заместителя председателя комитета, временной комиссии (отставки) письменно (электронно);»;</w:t>
      </w:r>
    </w:p>
    <w:p w14:paraId="7F6C94AF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часть 2 изложить в следующей редакции:</w:t>
      </w:r>
    </w:p>
    <w:p w14:paraId="0390E76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«2. Текст заявления о сложении полномочий председателя или заместителя председателя комитета, временной комиссии (отставка), поданного письменно (электронно), оглашается председательствующим на заседании Жогорку Кенеша и принимается Жогорку Кенешем к сведению.»;</w:t>
      </w:r>
    </w:p>
    <w:p w14:paraId="690913A2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7) часть 3 статьи 40 изложить в следующей редакции:</w:t>
      </w:r>
    </w:p>
    <w:p w14:paraId="1C430BD0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lastRenderedPageBreak/>
        <w:t>«3. В начале каждого месяца Жогорку Кенеш утверждает ежемесячный план работы с учетом очередности вопросов, а также предложений фракций, депутатских групп, комитетов, комиссий и депутатов, представленных письменно (электронно).»;</w:t>
      </w:r>
    </w:p>
    <w:p w14:paraId="5328FBDC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8) часть 3 статьи 46 изложить в следующей редакции:</w:t>
      </w:r>
    </w:p>
    <w:p w14:paraId="665303D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«3. Проект закона и сопроводительные документы представляются на государственном и официальном языках в электронном формате (шрифт </w:t>
      </w:r>
      <w:r>
        <w:rPr>
          <w:rFonts w:eastAsia="Times New Roman" w:cs="Times New Roman"/>
          <w:szCs w:val="28"/>
        </w:rPr>
        <w:t>Times</w:t>
      </w:r>
      <w:r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</w:rPr>
        <w:t>New</w:t>
      </w:r>
      <w:r>
        <w:rPr>
          <w:rFonts w:eastAsia="Times New Roman" w:cs="Times New Roman"/>
          <w:szCs w:val="28"/>
          <w:lang w:val="ru-RU"/>
        </w:rPr>
        <w:t xml:space="preserve"> </w:t>
      </w:r>
      <w:r>
        <w:rPr>
          <w:rFonts w:eastAsia="Times New Roman" w:cs="Times New Roman"/>
          <w:szCs w:val="28"/>
        </w:rPr>
        <w:t>Roman</w:t>
      </w:r>
      <w:r>
        <w:rPr>
          <w:rFonts w:eastAsia="Times New Roman" w:cs="Times New Roman"/>
          <w:szCs w:val="28"/>
          <w:lang w:val="ru-RU"/>
        </w:rPr>
        <w:t>, размер 14), а при отсутствии технической возможности — в бумажном виде.»;</w:t>
      </w:r>
    </w:p>
    <w:p w14:paraId="19C6E536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9) в статье 47:</w:t>
      </w:r>
    </w:p>
    <w:p w14:paraId="7E54127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в первом предложении части 5 слова «письменно уведомляет» заменить словами «уведомляет письменно (электронно)»;</w:t>
      </w:r>
    </w:p>
    <w:p w14:paraId="7A566FB8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часть 6 изложить в следующей редакции:</w:t>
      </w:r>
    </w:p>
    <w:p w14:paraId="6108E11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«6. Депутат или группа депутатов с согласия инициаторов проекта закона вправе присоединиться к инициированию проекта закона до принятия его во втором чтении, о чем уведомляет Торага письменно (электронно).»;</w:t>
      </w:r>
    </w:p>
    <w:p w14:paraId="2CB074A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10) часть 1 статьи 49 после пункта 2 дополнить пунктом 2-1 следующего содержания:</w:t>
      </w:r>
    </w:p>
    <w:p w14:paraId="08779B63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«2-1) на объединенный проект закона, подготовленный ответственным комитетом ко второму чтению в порядке, предусмотренном статьей 51 настоящего Регламента, до его рассмотрения ответственным комитетом;»;</w:t>
      </w:r>
    </w:p>
    <w:p w14:paraId="6F90D657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11) в статье 50:</w:t>
      </w:r>
    </w:p>
    <w:p w14:paraId="227BBC5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в части 2 слова «письменные замечания и предложения» заменить словами «замечания и предложения письменно (электронно)»;</w:t>
      </w:r>
    </w:p>
    <w:p w14:paraId="7FF555C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в абзаце первом части 7 слова «в бумажном или электронном виде» заменить словами «в электронном виде, а при отсутствии технической возможности — в бумажном виде»;</w:t>
      </w:r>
    </w:p>
    <w:p w14:paraId="01E9B7E0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12) в статье 51:</w:t>
      </w:r>
    </w:p>
    <w:p w14:paraId="7E3FBF8C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часть 1 изложить в следующей редакции:</w:t>
      </w:r>
    </w:p>
    <w:p w14:paraId="6EA46062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«1. Субъекты права законодательной инициативы направляют одновременно в ответственный комитет и экспертным службам поправки к проекту закона письменно (электронно) с их обоснованием и сравнительной таблицей через соответствующее структурное подразделение Аппарата в сроки, установленные частью 5 статьи 54 настоящего Регламента. При этом не допускается внесение поправок, выходящих за рамки концепции законопроекта.»;</w:t>
      </w:r>
    </w:p>
    <w:p w14:paraId="3312908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дополнить частями 6-1 и 6-2 следующего содержания:</w:t>
      </w:r>
    </w:p>
    <w:p w14:paraId="6A40624A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«6-1. При наличии двух или более проектов законов, связанных между собой по предмету или содержанию и принятых Жогорку Кенешем в первом чтении, ответственный комитет вправе при подготовке проектов законов ко второму чтению принять решение о подготовке объединенного проекта закона и рекомендовать Жогорку Кенешу объединить указанные проекты законов.</w:t>
      </w:r>
    </w:p>
    <w:p w14:paraId="43078E6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6-2. Решение о подготовке объединенного проекта закона отражается в заключении ответственного комитета. В заключении указываются перечень </w:t>
      </w:r>
      <w:r>
        <w:rPr>
          <w:rFonts w:eastAsia="Times New Roman" w:cs="Times New Roman"/>
          <w:szCs w:val="28"/>
          <w:lang w:val="ru-RU"/>
        </w:rPr>
        <w:lastRenderedPageBreak/>
        <w:t>объединяемых проектов законов и обоснование необходимости их объединения.»;</w:t>
      </w:r>
    </w:p>
    <w:p w14:paraId="13EE868B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в) в абзаце первом части 7 слова «в бумажном или электронном виде» заменить словами «в электронном виде, а при отсутствии технической возможности — в бумажном виде»;</w:t>
      </w:r>
    </w:p>
    <w:p w14:paraId="40AC51C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13) в абзаце первом части 2 статьи 52 слова «в бумажном или электронном виде» заменить словами «в электронном виде, а при отсутствии технической возможности — в бумажном виде»;</w:t>
      </w:r>
    </w:p>
    <w:p w14:paraId="2DC9D327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14) в статье 55:</w:t>
      </w:r>
    </w:p>
    <w:p w14:paraId="32B637D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часть 1 изложить в следующей редакции:</w:t>
      </w:r>
    </w:p>
    <w:p w14:paraId="13880CB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«1. Во втором чтении рассматриваются статьи проекта закона, по которым в ответственный комитет поступили предложения от инициаторов поправок письменно (электронно) во время обсуждения в ходе первого чтения.»;</w:t>
      </w:r>
    </w:p>
    <w:p w14:paraId="655BABE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дополнить частями 1-1 и 1-2 следующего содержания:</w:t>
      </w:r>
    </w:p>
    <w:p w14:paraId="08DDBED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«1-1. При внесении ответственным комитетом объединенного проекта закона председательствующий до рассмотрения поправок ставит на голосование предложение ответственного комитета об объединении проектов законов. В случае принятия Жогорку Кенешем предложения об объединении объединенный проект закона рассматривается во втором чтении как один проект закона. С момента принятия объединенного проекта закона во втором чтении отдельное рассмотрение объединенных проектов законов прекращается.</w:t>
      </w:r>
    </w:p>
    <w:p w14:paraId="3DEE16D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1-2. В случае отклонения Жогорку Кенешем предложения об объединении каждый проект закона продолжает рассматриваться отдельно в порядке, установленном настоящим Регламентом.»;</w:t>
      </w:r>
    </w:p>
    <w:p w14:paraId="71F00C4D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в) в части 7 слова «в письменном виде» заменить словами «письменно (электронно)»;</w:t>
      </w:r>
    </w:p>
    <w:p w14:paraId="2114D50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15) в части 6 статьи 58 слова «в бумажном или электронном виде» заменить словами «в электронном виде, а при отсутствии технической возможности — в бумажном виде»;</w:t>
      </w:r>
    </w:p>
    <w:p w14:paraId="373CDBC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16) в части 6 статьи 61 слова «в письменном виде» заменить словами «письменно (электронно)»;</w:t>
      </w:r>
    </w:p>
    <w:p w14:paraId="34C885FD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17) в статье 69:</w:t>
      </w:r>
    </w:p>
    <w:p w14:paraId="0BC8F7D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в части 2 слова «поступивших письменных предложений» заменить словами «предложений, поступивших письменно (электронно),»;</w:t>
      </w:r>
    </w:p>
    <w:p w14:paraId="37D84D58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в части 3 слова «письменные предложения» заменить словами «предложения письменно (электронно)»;</w:t>
      </w:r>
    </w:p>
    <w:p w14:paraId="001BEDD5" w14:textId="1C9D40B7" w:rsidR="006253C9" w:rsidRPr="003605CB" w:rsidRDefault="006253C9" w:rsidP="0097109A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в) в части 4 слова «письменных предложений» заменить словами «предложений»;</w:t>
      </w:r>
    </w:p>
    <w:p w14:paraId="4A7FB51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18) в части 6 статьи 84 слова «письменно или по электронной почте» заменить словами «в электронной форме или письменно»;</w:t>
      </w:r>
    </w:p>
    <w:p w14:paraId="2052C30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19) в статье 85:</w:t>
      </w:r>
    </w:p>
    <w:p w14:paraId="22105742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в части 3-1 слова «в письменном виде» заменить словами «письменно (электронно)»;</w:t>
      </w:r>
    </w:p>
    <w:p w14:paraId="67F03A8B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lastRenderedPageBreak/>
        <w:t>б) в части 3-2 слова «непредставления письменных предложений» заменить словами «непредставления письменно (электронно) предложений»;</w:t>
      </w:r>
    </w:p>
    <w:p w14:paraId="0602CFD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20) в абзаце втором части 4 статьи 88 слова «в письменной форме» заменить словами «письменно (электронно)»;</w:t>
      </w:r>
    </w:p>
    <w:p w14:paraId="34EC7A25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21) пункт 9 части 1 статьи 96 изложить в следующей редакции:</w:t>
      </w:r>
    </w:p>
    <w:p w14:paraId="6F16ADC3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«9) запросы фракций, депутатских групп и депутатов и ответы на них, представленные письменно (электронно);»;</w:t>
      </w:r>
    </w:p>
    <w:p w14:paraId="54150740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22) в абзаце первом части 4 статьи 105 слова «по обоснованной письменной инициативе» заменить словами «по обоснованной инициативе, представленной письменно (электронно)»;</w:t>
      </w:r>
    </w:p>
    <w:p w14:paraId="45C4145E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23) во втором предложении части 5 статьи 106 слова «в письменном виде» заменить словами «письменно (электронно)»;</w:t>
      </w:r>
    </w:p>
    <w:p w14:paraId="0E4E262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24) во втором предложении части 7 статьи 109 слова «письменного ответа» заменить словами «ответа, полученного письменно (электронно),»;</w:t>
      </w:r>
    </w:p>
    <w:p w14:paraId="67197A8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25) в статье 110:</w:t>
      </w:r>
    </w:p>
    <w:p w14:paraId="577DA1BF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в части 4 слова «дать письменный ответ» заменить словами «дать ответ письменно (электронно)»;</w:t>
      </w:r>
    </w:p>
    <w:p w14:paraId="09B2F20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часть 5 изложить в следующей редакции:</w:t>
      </w:r>
    </w:p>
    <w:p w14:paraId="30FBE7FC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«5. Запросы депутатов, представленные письменно (электронно) либо высказанные устно во время заседания Жогорку Кенеша, оформляются на основе стенограммы заседания на специальном бланке в письменном (электронном) виде, подписываются депутатом собственноручно либо электронной цифровой подписью, регистрируются в едином реестре депутатских запросов и ответов на них и направляются в соответствующие органы.»;</w:t>
      </w:r>
    </w:p>
    <w:p w14:paraId="4AFF888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26) в статье 111:</w:t>
      </w:r>
    </w:p>
    <w:p w14:paraId="4825CF61" w14:textId="1A7C8E98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в части 1 слова «в письменном виде» заменить словами «письменно (электронно)»;</w:t>
      </w:r>
    </w:p>
    <w:p w14:paraId="6D918D62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в части 2 слова «в письменной форме» заменить словами «письменно (электронно)»;</w:t>
      </w:r>
    </w:p>
    <w:p w14:paraId="03E9DDF1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27) пункт 4 части 5-1 статьи 143 изложить в следующей редакции:</w:t>
      </w:r>
    </w:p>
    <w:p w14:paraId="3DF42B69" w14:textId="77777777" w:rsidR="006253C9" w:rsidRPr="003605CB" w:rsidRDefault="006253C9" w:rsidP="006459EE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«4) учебный отпуск, нахождение в командировке, участие по приглашению, оформленному письменно (электронно), в государственных церемониях и официальных приемах, конференциях, семинарах и других мероприятиях по уведомлению руководства парламента;»;</w:t>
      </w:r>
    </w:p>
    <w:p w14:paraId="5B323236" w14:textId="77777777" w:rsidR="006253C9" w:rsidRPr="003605CB" w:rsidRDefault="006253C9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28) в статье 162:</w:t>
      </w:r>
    </w:p>
    <w:p w14:paraId="2FBD1E01" w14:textId="77777777" w:rsidR="006253C9" w:rsidRPr="003605CB" w:rsidRDefault="006253C9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а) часть 1 изложить в следующей редакции:</w:t>
      </w:r>
    </w:p>
    <w:p w14:paraId="0534E4C8" w14:textId="77777777" w:rsidR="006253C9" w:rsidRPr="003605CB" w:rsidRDefault="006253C9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«1. Документооборот Жогорку Кенеша ведется электронным способом на государственном языке, за исключением случаев отсутствия технической возможности, работы с документами для служебного пользования, а также с документами, содержащими государственные секреты. В указанных случаях документооборот ведется в бумажном виде.»;</w:t>
      </w:r>
    </w:p>
    <w:p w14:paraId="59398D05" w14:textId="77777777" w:rsidR="006253C9" w:rsidRPr="003605CB" w:rsidRDefault="006253C9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б) часть 2 изложить в следующей редакции:</w:t>
      </w:r>
    </w:p>
    <w:p w14:paraId="0FE3D3C8" w14:textId="77777777" w:rsidR="006253C9" w:rsidRPr="003605CB" w:rsidRDefault="006253C9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 xml:space="preserve">«2. Документы, предусмотренные настоящим Регламентом, представляются, направляются, вносятся и подаются письменно (электронно). </w:t>
      </w:r>
      <w:r>
        <w:rPr>
          <w:rFonts w:eastAsia="Times New Roman" w:cs="Times New Roman"/>
          <w:szCs w:val="28"/>
          <w:lang w:val="ru-RU"/>
        </w:rPr>
        <w:lastRenderedPageBreak/>
        <w:t>Электронный документ подписывается электронной цифровой подписью в порядке, установленном законодательством.»;</w:t>
      </w:r>
    </w:p>
    <w:p w14:paraId="324066C4" w14:textId="77777777" w:rsidR="006253C9" w:rsidRPr="003605CB" w:rsidRDefault="006253C9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в) дополнить частью 2-1 следующего содержания:</w:t>
      </w:r>
    </w:p>
    <w:p w14:paraId="6BB32F23" w14:textId="77777777" w:rsidR="006253C9" w:rsidRDefault="006253C9" w:rsidP="003605CB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«2-1. Одновременное представление документа в письменном и электронном виде не требуется.».</w:t>
      </w:r>
    </w:p>
    <w:p w14:paraId="54589369" w14:textId="77777777" w:rsidR="003F7557" w:rsidRPr="003605CB" w:rsidRDefault="003F7557" w:rsidP="003605CB">
      <w:pPr>
        <w:spacing w:after="0" w:line="240" w:lineRule="auto"/>
        <w:ind w:firstLine="567"/>
        <w:jc w:val="both"/>
        <w:rPr>
          <w:rFonts w:cs="Times New Roman"/>
          <w:szCs w:val="28"/>
          <w:lang w:val="ru-RU"/>
        </w:rPr>
      </w:pPr>
    </w:p>
    <w:p w14:paraId="08994BC9" w14:textId="77777777" w:rsidR="003F7557" w:rsidRDefault="006253C9" w:rsidP="003605CB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  <w:lang w:val="ru-RU"/>
        </w:rPr>
      </w:pPr>
      <w:r>
        <w:rPr>
          <w:rFonts w:eastAsia="Times New Roman" w:cs="Times New Roman"/>
          <w:b/>
          <w:szCs w:val="28"/>
          <w:lang w:val="ru-RU"/>
        </w:rPr>
        <w:t>Статья 2</w:t>
      </w:r>
    </w:p>
    <w:p w14:paraId="34648007" w14:textId="77777777" w:rsidR="003F7557" w:rsidRDefault="003F7557" w:rsidP="003605CB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  <w:lang w:val="ru-RU"/>
        </w:rPr>
      </w:pPr>
    </w:p>
    <w:p w14:paraId="790EC682" w14:textId="77777777" w:rsidR="003F7557" w:rsidRDefault="006253C9" w:rsidP="003F7557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szCs w:val="28"/>
          <w:lang w:val="ru-RU"/>
        </w:rPr>
        <w:t>Настоящий Закон вступает в силу по истечении десяти дней со дня его официального опубликования.</w:t>
      </w:r>
    </w:p>
    <w:p w14:paraId="6CD76D71" w14:textId="77777777" w:rsidR="003F7557" w:rsidRDefault="003F7557" w:rsidP="003F7557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ru-RU"/>
        </w:rPr>
      </w:pPr>
    </w:p>
    <w:p w14:paraId="75FF1DC6" w14:textId="77777777" w:rsidR="003F7557" w:rsidRDefault="006253C9" w:rsidP="003F7557">
      <w:pPr>
        <w:spacing w:after="0" w:line="240" w:lineRule="auto"/>
        <w:ind w:firstLine="567"/>
        <w:jc w:val="both"/>
        <w:rPr>
          <w:rFonts w:eastAsia="Times New Roman" w:cs="Times New Roman"/>
          <w:b/>
          <w:szCs w:val="28"/>
          <w:lang w:val="ru-RU"/>
        </w:rPr>
      </w:pPr>
      <w:r>
        <w:rPr>
          <w:rFonts w:eastAsia="Times New Roman" w:cs="Times New Roman"/>
          <w:b/>
          <w:szCs w:val="28"/>
          <w:lang w:val="ru-RU"/>
        </w:rPr>
        <w:t xml:space="preserve">Президент </w:t>
      </w:r>
    </w:p>
    <w:p w14:paraId="0F818078" w14:textId="46E2630F" w:rsidR="006253C9" w:rsidRPr="003F7557" w:rsidRDefault="006253C9" w:rsidP="003F7557">
      <w:pPr>
        <w:spacing w:after="0" w:line="240" w:lineRule="auto"/>
        <w:ind w:firstLine="567"/>
        <w:jc w:val="both"/>
        <w:rPr>
          <w:rFonts w:eastAsia="Times New Roman" w:cs="Times New Roman"/>
          <w:szCs w:val="28"/>
          <w:lang w:val="ru-RU"/>
        </w:rPr>
      </w:pPr>
      <w:r>
        <w:rPr>
          <w:rFonts w:eastAsia="Times New Roman" w:cs="Times New Roman"/>
          <w:b/>
          <w:szCs w:val="28"/>
          <w:lang w:val="ru-RU"/>
        </w:rPr>
        <w:t>Кыргызской Республики</w:t>
      </w:r>
    </w:p>
    <w:p w14:paraId="65782647" w14:textId="77777777" w:rsidR="00D000A7" w:rsidRPr="003605CB" w:rsidRDefault="00D000A7" w:rsidP="003605CB">
      <w:pPr>
        <w:spacing w:after="0" w:line="240" w:lineRule="auto"/>
        <w:jc w:val="both"/>
        <w:rPr>
          <w:rFonts w:cs="Times New Roman"/>
          <w:szCs w:val="28"/>
        </w:rPr>
      </w:pPr>
    </w:p>
    <w:sectPr w:rsidR="00D000A7" w:rsidRPr="003605CB" w:rsidSect="000E76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A65"/>
    <w:rsid w:val="000E76AE"/>
    <w:rsid w:val="00155605"/>
    <w:rsid w:val="001B284D"/>
    <w:rsid w:val="00215FF4"/>
    <w:rsid w:val="002340A1"/>
    <w:rsid w:val="0034182D"/>
    <w:rsid w:val="003605CB"/>
    <w:rsid w:val="003C09CD"/>
    <w:rsid w:val="003F7557"/>
    <w:rsid w:val="004620EB"/>
    <w:rsid w:val="004967EE"/>
    <w:rsid w:val="004A0809"/>
    <w:rsid w:val="00514DED"/>
    <w:rsid w:val="0057502D"/>
    <w:rsid w:val="005865FF"/>
    <w:rsid w:val="005D3CC0"/>
    <w:rsid w:val="00602A65"/>
    <w:rsid w:val="006253C9"/>
    <w:rsid w:val="006459EE"/>
    <w:rsid w:val="006509F3"/>
    <w:rsid w:val="006F1F83"/>
    <w:rsid w:val="006F53E2"/>
    <w:rsid w:val="00756685"/>
    <w:rsid w:val="007E5191"/>
    <w:rsid w:val="00856DF7"/>
    <w:rsid w:val="008672FC"/>
    <w:rsid w:val="00891E40"/>
    <w:rsid w:val="00960117"/>
    <w:rsid w:val="0097109A"/>
    <w:rsid w:val="00986C97"/>
    <w:rsid w:val="009C45D7"/>
    <w:rsid w:val="009D1C6E"/>
    <w:rsid w:val="00A26575"/>
    <w:rsid w:val="00A52886"/>
    <w:rsid w:val="00AC0306"/>
    <w:rsid w:val="00B044B8"/>
    <w:rsid w:val="00B46F7D"/>
    <w:rsid w:val="00B50A0A"/>
    <w:rsid w:val="00B61259"/>
    <w:rsid w:val="00C47837"/>
    <w:rsid w:val="00C67D94"/>
    <w:rsid w:val="00D000A7"/>
    <w:rsid w:val="00D41F34"/>
    <w:rsid w:val="00D60C58"/>
    <w:rsid w:val="00D716FE"/>
    <w:rsid w:val="00DE1026"/>
    <w:rsid w:val="00E802E1"/>
    <w:rsid w:val="00F25D14"/>
    <w:rsid w:val="00F315E7"/>
    <w:rsid w:val="00F35D92"/>
    <w:rsid w:val="00F64E5C"/>
    <w:rsid w:val="00F7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CCE6BA"/>
  <w15:chartTrackingRefBased/>
  <w15:docId w15:val="{472B89B5-2DB1-4C35-82EF-F48C53905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53C9"/>
    <w:pPr>
      <w:spacing w:after="100" w:line="264" w:lineRule="auto"/>
    </w:pPr>
    <w:rPr>
      <w:rFonts w:ascii="Times New Roman" w:eastAsiaTheme="minorEastAsia" w:hAnsi="Times New Roman"/>
      <w:sz w:val="28"/>
      <w:lang w:val="en-US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1434</Words>
  <Characters>8174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Сезима Шер</dc:creator>
  <cp:keywords/>
  <dc:description/>
  <cp:lastModifiedBy>Темирлан</cp:lastModifiedBy>
  <cp:revision>2</cp:revision>
  <dcterms:created xsi:type="dcterms:W3CDTF">2026-08-07T03:35:00Z</dcterms:created>
  <dcterms:modified xsi:type="dcterms:W3CDTF">2026-08-07T03:35:00Z</dcterms:modified>
</cp:coreProperties>
</file>